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40" w:rsidRPr="00A67040" w:rsidRDefault="00A67040">
      <w:pPr>
        <w:rPr>
          <w:i/>
        </w:rPr>
      </w:pPr>
      <w:bookmarkStart w:id="0" w:name="_GoBack"/>
      <w:bookmarkEnd w:id="0"/>
      <w:r>
        <w:tab/>
      </w:r>
      <w:r>
        <w:tab/>
      </w:r>
      <w:r>
        <w:tab/>
      </w:r>
      <w:r>
        <w:tab/>
      </w:r>
      <w:r>
        <w:tab/>
      </w:r>
      <w:r>
        <w:tab/>
      </w:r>
      <w:r>
        <w:tab/>
      </w:r>
      <w:r>
        <w:tab/>
      </w:r>
      <w:r>
        <w:tab/>
      </w:r>
      <w:r>
        <w:tab/>
      </w:r>
    </w:p>
    <w:p w:rsidR="00A67040" w:rsidRDefault="00A67040"/>
    <w:tbl>
      <w:tblPr>
        <w:tblW w:w="10710" w:type="dxa"/>
        <w:jc w:val="center"/>
        <w:tblInd w:w="360" w:type="dxa"/>
        <w:tblLayout w:type="fixed"/>
        <w:tblLook w:val="0000" w:firstRow="0" w:lastRow="0" w:firstColumn="0" w:lastColumn="0" w:noHBand="0" w:noVBand="0"/>
      </w:tblPr>
      <w:tblGrid>
        <w:gridCol w:w="2340"/>
        <w:gridCol w:w="1488"/>
        <w:gridCol w:w="3576"/>
        <w:gridCol w:w="966"/>
        <w:gridCol w:w="2340"/>
      </w:tblGrid>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sz w:val="24"/>
                <w:szCs w:val="24"/>
              </w:rPr>
            </w:pPr>
            <w:r w:rsidRPr="0035260D">
              <w:rPr>
                <w:b/>
                <w:bCs/>
                <w:sz w:val="36"/>
                <w:szCs w:val="24"/>
              </w:rPr>
              <w:t>UNITED STATES</w:t>
            </w:r>
            <w:r w:rsidRPr="0035260D">
              <w:rPr>
                <w:b/>
                <w:bCs/>
                <w:sz w:val="36"/>
                <w:szCs w:val="24"/>
              </w:rPr>
              <w:br/>
              <w:t>SECURITIES AND EXCHANGE COMMISSION</w:t>
            </w:r>
            <w:r w:rsidRPr="0035260D">
              <w:rPr>
                <w:sz w:val="24"/>
                <w:szCs w:val="24"/>
              </w:rPr>
              <w:br/>
            </w:r>
            <w:r w:rsidRPr="0035260D">
              <w:rPr>
                <w:b/>
                <w:sz w:val="24"/>
                <w:szCs w:val="24"/>
              </w:rPr>
              <w:t>WASHINGTON, D.C. 20549</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b/>
                <w:bCs/>
                <w:sz w:val="24"/>
                <w:szCs w:val="24"/>
              </w:rPr>
            </w:pPr>
            <w:r w:rsidRPr="0035260D">
              <w:rPr>
                <w:sz w:val="24"/>
                <w:szCs w:val="24"/>
              </w:rPr>
              <w:t>___________________________________</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b/>
                <w:bCs/>
                <w:sz w:val="16"/>
                <w:szCs w:val="24"/>
              </w:rPr>
            </w:pP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b/>
                <w:bCs/>
                <w:sz w:val="36"/>
                <w:szCs w:val="24"/>
              </w:rPr>
            </w:pPr>
            <w:r w:rsidRPr="0035260D">
              <w:rPr>
                <w:b/>
                <w:bCs/>
                <w:sz w:val="36"/>
                <w:szCs w:val="24"/>
              </w:rPr>
              <w:t>FORM 10-Q</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b/>
                <w:bCs/>
                <w:sz w:val="24"/>
                <w:szCs w:val="24"/>
              </w:rPr>
            </w:pP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sz w:val="24"/>
                <w:szCs w:val="24"/>
              </w:rPr>
            </w:pPr>
            <w:r w:rsidRPr="0035260D">
              <w:rPr>
                <w:b/>
                <w:bCs/>
                <w:sz w:val="24"/>
                <w:szCs w:val="24"/>
              </w:rPr>
              <w:fldChar w:fldCharType="begin">
                <w:ffData>
                  <w:name w:val="Check1"/>
                  <w:enabled/>
                  <w:calcOnExit w:val="0"/>
                  <w:checkBox>
                    <w:sizeAuto/>
                    <w:default w:val="1"/>
                  </w:checkBox>
                </w:ffData>
              </w:fldChar>
            </w:r>
            <w:bookmarkStart w:id="1" w:name="Check1"/>
            <w:r w:rsidRPr="0035260D">
              <w:rPr>
                <w:b/>
                <w:bCs/>
                <w:sz w:val="24"/>
                <w:szCs w:val="24"/>
              </w:rPr>
              <w:instrText xml:space="preserve"> FORMCHECKBOX </w:instrText>
            </w:r>
            <w:r w:rsidRPr="0035260D">
              <w:rPr>
                <w:b/>
                <w:bCs/>
                <w:sz w:val="24"/>
                <w:szCs w:val="24"/>
              </w:rPr>
            </w:r>
            <w:r w:rsidRPr="0035260D">
              <w:rPr>
                <w:b/>
                <w:bCs/>
                <w:sz w:val="24"/>
                <w:szCs w:val="24"/>
              </w:rPr>
              <w:fldChar w:fldCharType="end"/>
            </w:r>
            <w:bookmarkEnd w:id="1"/>
            <w:r w:rsidRPr="0035260D">
              <w:rPr>
                <w:b/>
                <w:bCs/>
                <w:sz w:val="24"/>
                <w:szCs w:val="24"/>
              </w:rPr>
              <w:t>  QUARTERLY REPORT PURSUANT TO SECTION 13 OR 15(d)</w:t>
            </w:r>
            <w:r w:rsidRPr="0035260D">
              <w:rPr>
                <w:b/>
                <w:bCs/>
                <w:sz w:val="24"/>
                <w:szCs w:val="24"/>
              </w:rPr>
              <w:br/>
              <w:t>OF THE SECURITIES EXCHANGE ACT OF 1934</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sz w:val="24"/>
                <w:szCs w:val="24"/>
              </w:rPr>
            </w:pPr>
          </w:p>
        </w:tc>
      </w:tr>
      <w:tr w:rsidR="0035260D" w:rsidRPr="0035260D" w:rsidTr="0035260D">
        <w:trPr>
          <w:cantSplit/>
          <w:jc w:val="center"/>
        </w:trPr>
        <w:tc>
          <w:tcPr>
            <w:tcW w:w="10710" w:type="dxa"/>
            <w:gridSpan w:val="5"/>
          </w:tcPr>
          <w:p w:rsidR="0035260D" w:rsidRPr="0035260D" w:rsidRDefault="0035260D" w:rsidP="004D4C6B">
            <w:pPr>
              <w:widowControl/>
              <w:autoSpaceDE/>
              <w:autoSpaceDN/>
              <w:adjustRightInd/>
              <w:jc w:val="center"/>
              <w:rPr>
                <w:b/>
                <w:sz w:val="24"/>
                <w:szCs w:val="24"/>
              </w:rPr>
            </w:pPr>
            <w:r w:rsidRPr="0035260D">
              <w:rPr>
                <w:b/>
                <w:sz w:val="24"/>
                <w:szCs w:val="24"/>
              </w:rPr>
              <w:t xml:space="preserve">For The Quarterly Period Ended </w:t>
            </w:r>
            <w:r w:rsidR="007174C7">
              <w:rPr>
                <w:b/>
                <w:sz w:val="24"/>
                <w:szCs w:val="24"/>
              </w:rPr>
              <w:t>March</w:t>
            </w:r>
            <w:r w:rsidRPr="0035260D">
              <w:rPr>
                <w:b/>
                <w:sz w:val="24"/>
                <w:szCs w:val="24"/>
              </w:rPr>
              <w:t xml:space="preserve"> 3</w:t>
            </w:r>
            <w:r w:rsidR="007174C7">
              <w:rPr>
                <w:b/>
                <w:sz w:val="24"/>
                <w:szCs w:val="24"/>
              </w:rPr>
              <w:t>1</w:t>
            </w:r>
            <w:r w:rsidRPr="0035260D">
              <w:rPr>
                <w:b/>
                <w:sz w:val="24"/>
                <w:szCs w:val="24"/>
              </w:rPr>
              <w:t>, 201</w:t>
            </w:r>
            <w:r w:rsidR="004D4C6B">
              <w:rPr>
                <w:b/>
                <w:sz w:val="24"/>
                <w:szCs w:val="24"/>
              </w:rPr>
              <w:t>4</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sz w:val="24"/>
                <w:szCs w:val="24"/>
              </w:rPr>
            </w:pPr>
          </w:p>
        </w:tc>
      </w:tr>
      <w:tr w:rsidR="0035260D" w:rsidRPr="0035260D" w:rsidTr="0035260D">
        <w:trPr>
          <w:cantSplit/>
          <w:jc w:val="center"/>
        </w:trPr>
        <w:tc>
          <w:tcPr>
            <w:tcW w:w="10710" w:type="dxa"/>
            <w:gridSpan w:val="5"/>
          </w:tcPr>
          <w:p w:rsidR="0035260D" w:rsidRPr="0035260D" w:rsidRDefault="00226CD3" w:rsidP="0035260D">
            <w:pPr>
              <w:widowControl/>
              <w:autoSpaceDE/>
              <w:autoSpaceDN/>
              <w:adjustRightInd/>
              <w:jc w:val="center"/>
              <w:rPr>
                <w:sz w:val="24"/>
                <w:szCs w:val="24"/>
              </w:rPr>
            </w:pPr>
            <w:r w:rsidRPr="0035260D">
              <w:rPr>
                <w:sz w:val="24"/>
                <w:szCs w:val="24"/>
              </w:rPr>
              <w:t>O</w:t>
            </w:r>
            <w:r w:rsidR="0035260D" w:rsidRPr="0035260D">
              <w:rPr>
                <w:sz w:val="24"/>
                <w:szCs w:val="24"/>
              </w:rPr>
              <w:t>r</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sz w:val="24"/>
                <w:szCs w:val="24"/>
              </w:rPr>
            </w:pP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sz w:val="24"/>
                <w:szCs w:val="24"/>
              </w:rPr>
            </w:pPr>
            <w:r w:rsidRPr="0035260D">
              <w:rPr>
                <w:b/>
                <w:bCs/>
                <w:sz w:val="24"/>
                <w:szCs w:val="24"/>
              </w:rPr>
              <w:fldChar w:fldCharType="begin">
                <w:ffData>
                  <w:name w:val=""/>
                  <w:enabled/>
                  <w:calcOnExit w:val="0"/>
                  <w:checkBox>
                    <w:sizeAuto/>
                    <w:default w:val="0"/>
                  </w:checkBox>
                </w:ffData>
              </w:fldChar>
            </w:r>
            <w:r w:rsidRPr="0035260D">
              <w:rPr>
                <w:b/>
                <w:bCs/>
                <w:sz w:val="24"/>
                <w:szCs w:val="24"/>
              </w:rPr>
              <w:instrText xml:space="preserve"> FORMCHECKBOX </w:instrText>
            </w:r>
            <w:r w:rsidRPr="0035260D">
              <w:rPr>
                <w:b/>
                <w:bCs/>
                <w:sz w:val="24"/>
                <w:szCs w:val="24"/>
              </w:rPr>
            </w:r>
            <w:r w:rsidRPr="0035260D">
              <w:rPr>
                <w:b/>
                <w:bCs/>
                <w:sz w:val="24"/>
                <w:szCs w:val="24"/>
              </w:rPr>
              <w:fldChar w:fldCharType="end"/>
            </w:r>
            <w:r w:rsidRPr="0035260D">
              <w:rPr>
                <w:b/>
                <w:bCs/>
                <w:sz w:val="24"/>
                <w:szCs w:val="24"/>
              </w:rPr>
              <w:t>   TRANSITION REPORT PURSUANT TO SECTION 13 OR 15(d)</w:t>
            </w:r>
            <w:r w:rsidRPr="0035260D">
              <w:rPr>
                <w:b/>
                <w:bCs/>
                <w:sz w:val="24"/>
                <w:szCs w:val="24"/>
              </w:rPr>
              <w:br/>
              <w:t>OF THE SECURITIES EXCHANGE ACT OF 1934</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sz w:val="24"/>
                <w:szCs w:val="24"/>
              </w:rPr>
            </w:pP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sz w:val="24"/>
                <w:szCs w:val="24"/>
              </w:rPr>
            </w:pPr>
            <w:r w:rsidRPr="0035260D">
              <w:rPr>
                <w:sz w:val="24"/>
                <w:szCs w:val="24"/>
              </w:rPr>
              <w:t>For the Transition Period from __________ to ______________</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sz w:val="24"/>
                <w:szCs w:val="24"/>
              </w:rPr>
            </w:pP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b/>
                <w:bCs/>
                <w:sz w:val="24"/>
                <w:szCs w:val="24"/>
              </w:rPr>
            </w:pPr>
            <w:r w:rsidRPr="0035260D">
              <w:rPr>
                <w:sz w:val="24"/>
                <w:szCs w:val="24"/>
              </w:rPr>
              <w:t>Commission file number 1-11862</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b/>
                <w:bCs/>
                <w:sz w:val="24"/>
                <w:szCs w:val="24"/>
              </w:rPr>
            </w:pP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b/>
                <w:bCs/>
                <w:sz w:val="36"/>
                <w:szCs w:val="24"/>
              </w:rPr>
            </w:pPr>
            <w:r>
              <w:rPr>
                <w:b/>
                <w:bCs/>
                <w:sz w:val="36"/>
                <w:szCs w:val="24"/>
              </w:rPr>
              <w:t>TRAC Intermodal LLC</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b/>
                <w:bCs/>
                <w:sz w:val="24"/>
                <w:szCs w:val="24"/>
              </w:rPr>
            </w:pPr>
            <w:r w:rsidRPr="0035260D">
              <w:rPr>
                <w:sz w:val="24"/>
                <w:szCs w:val="24"/>
              </w:rPr>
              <w:t>(Exact name of registrant as specified in the charter)</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b/>
                <w:bCs/>
                <w:sz w:val="24"/>
                <w:szCs w:val="24"/>
              </w:rPr>
            </w:pPr>
          </w:p>
        </w:tc>
      </w:tr>
      <w:tr w:rsidR="0035260D" w:rsidRPr="0035260D" w:rsidTr="0035260D">
        <w:trPr>
          <w:jc w:val="center"/>
        </w:trPr>
        <w:tc>
          <w:tcPr>
            <w:tcW w:w="3828" w:type="dxa"/>
            <w:gridSpan w:val="2"/>
          </w:tcPr>
          <w:p w:rsidR="0035260D" w:rsidRPr="0035260D" w:rsidRDefault="0035260D" w:rsidP="0035260D">
            <w:pPr>
              <w:widowControl/>
              <w:autoSpaceDE/>
              <w:autoSpaceDN/>
              <w:adjustRightInd/>
              <w:jc w:val="center"/>
              <w:rPr>
                <w:b/>
                <w:bCs/>
                <w:sz w:val="24"/>
                <w:szCs w:val="24"/>
              </w:rPr>
            </w:pPr>
            <w:r w:rsidRPr="0035260D">
              <w:rPr>
                <w:b/>
                <w:bCs/>
                <w:sz w:val="24"/>
                <w:szCs w:val="24"/>
              </w:rPr>
              <w:t>Delaware</w:t>
            </w:r>
          </w:p>
        </w:tc>
        <w:tc>
          <w:tcPr>
            <w:tcW w:w="3576" w:type="dxa"/>
          </w:tcPr>
          <w:p w:rsidR="0035260D" w:rsidRPr="0035260D" w:rsidRDefault="0035260D" w:rsidP="0035260D">
            <w:pPr>
              <w:widowControl/>
              <w:autoSpaceDE/>
              <w:autoSpaceDN/>
              <w:adjustRightInd/>
              <w:rPr>
                <w:sz w:val="24"/>
                <w:szCs w:val="24"/>
              </w:rPr>
            </w:pPr>
          </w:p>
        </w:tc>
        <w:tc>
          <w:tcPr>
            <w:tcW w:w="3306" w:type="dxa"/>
            <w:gridSpan w:val="2"/>
          </w:tcPr>
          <w:p w:rsidR="0035260D" w:rsidRPr="0035260D" w:rsidRDefault="0035260D" w:rsidP="0035260D">
            <w:pPr>
              <w:widowControl/>
              <w:autoSpaceDE/>
              <w:autoSpaceDN/>
              <w:adjustRightInd/>
              <w:jc w:val="center"/>
              <w:rPr>
                <w:b/>
                <w:bCs/>
                <w:sz w:val="24"/>
                <w:szCs w:val="24"/>
              </w:rPr>
            </w:pPr>
            <w:r>
              <w:rPr>
                <w:b/>
                <w:bCs/>
                <w:sz w:val="24"/>
                <w:szCs w:val="24"/>
              </w:rPr>
              <w:t>46</w:t>
            </w:r>
            <w:r w:rsidRPr="0035260D">
              <w:rPr>
                <w:b/>
                <w:bCs/>
                <w:sz w:val="24"/>
                <w:szCs w:val="24"/>
              </w:rPr>
              <w:t>-</w:t>
            </w:r>
            <w:r>
              <w:rPr>
                <w:b/>
                <w:bCs/>
                <w:sz w:val="24"/>
                <w:szCs w:val="24"/>
              </w:rPr>
              <w:t>0648957</w:t>
            </w:r>
          </w:p>
        </w:tc>
      </w:tr>
      <w:tr w:rsidR="0035260D" w:rsidRPr="0035260D" w:rsidTr="0035260D">
        <w:trPr>
          <w:jc w:val="center"/>
        </w:trPr>
        <w:tc>
          <w:tcPr>
            <w:tcW w:w="3828" w:type="dxa"/>
            <w:gridSpan w:val="2"/>
          </w:tcPr>
          <w:p w:rsidR="0035260D" w:rsidRPr="0035260D" w:rsidRDefault="0035260D" w:rsidP="0035260D">
            <w:pPr>
              <w:widowControl/>
              <w:autoSpaceDE/>
              <w:autoSpaceDN/>
              <w:adjustRightInd/>
              <w:jc w:val="center"/>
              <w:rPr>
                <w:szCs w:val="24"/>
              </w:rPr>
            </w:pPr>
            <w:r w:rsidRPr="0035260D">
              <w:rPr>
                <w:szCs w:val="24"/>
              </w:rPr>
              <w:t>(State or other jurisdiction of</w:t>
            </w:r>
          </w:p>
        </w:tc>
        <w:tc>
          <w:tcPr>
            <w:tcW w:w="3576" w:type="dxa"/>
          </w:tcPr>
          <w:p w:rsidR="0035260D" w:rsidRPr="0035260D" w:rsidRDefault="0035260D" w:rsidP="0035260D">
            <w:pPr>
              <w:widowControl/>
              <w:autoSpaceDE/>
              <w:autoSpaceDN/>
              <w:adjustRightInd/>
              <w:rPr>
                <w:szCs w:val="24"/>
              </w:rPr>
            </w:pPr>
          </w:p>
        </w:tc>
        <w:tc>
          <w:tcPr>
            <w:tcW w:w="3306" w:type="dxa"/>
            <w:gridSpan w:val="2"/>
          </w:tcPr>
          <w:p w:rsidR="0035260D" w:rsidRPr="0035260D" w:rsidRDefault="0035260D" w:rsidP="0035260D">
            <w:pPr>
              <w:widowControl/>
              <w:autoSpaceDE/>
              <w:autoSpaceDN/>
              <w:adjustRightInd/>
              <w:jc w:val="center"/>
              <w:rPr>
                <w:sz w:val="24"/>
                <w:szCs w:val="24"/>
              </w:rPr>
            </w:pPr>
            <w:r w:rsidRPr="0035260D">
              <w:rPr>
                <w:szCs w:val="24"/>
              </w:rPr>
              <w:t>(I.R.S. Employer</w:t>
            </w:r>
          </w:p>
        </w:tc>
      </w:tr>
      <w:tr w:rsidR="0035260D" w:rsidRPr="0035260D" w:rsidTr="0035260D">
        <w:trPr>
          <w:jc w:val="center"/>
        </w:trPr>
        <w:tc>
          <w:tcPr>
            <w:tcW w:w="3828" w:type="dxa"/>
            <w:gridSpan w:val="2"/>
          </w:tcPr>
          <w:p w:rsidR="0035260D" w:rsidRPr="0035260D" w:rsidRDefault="0035260D" w:rsidP="0035260D">
            <w:pPr>
              <w:widowControl/>
              <w:autoSpaceDE/>
              <w:autoSpaceDN/>
              <w:adjustRightInd/>
              <w:jc w:val="center"/>
              <w:rPr>
                <w:szCs w:val="24"/>
              </w:rPr>
            </w:pPr>
            <w:r w:rsidRPr="0035260D">
              <w:rPr>
                <w:szCs w:val="24"/>
              </w:rPr>
              <w:t>incorporation or organization)</w:t>
            </w:r>
          </w:p>
        </w:tc>
        <w:tc>
          <w:tcPr>
            <w:tcW w:w="3576" w:type="dxa"/>
          </w:tcPr>
          <w:p w:rsidR="0035260D" w:rsidRPr="0035260D" w:rsidRDefault="0035260D" w:rsidP="0035260D">
            <w:pPr>
              <w:widowControl/>
              <w:autoSpaceDE/>
              <w:autoSpaceDN/>
              <w:adjustRightInd/>
              <w:rPr>
                <w:szCs w:val="24"/>
              </w:rPr>
            </w:pPr>
          </w:p>
        </w:tc>
        <w:tc>
          <w:tcPr>
            <w:tcW w:w="3306" w:type="dxa"/>
            <w:gridSpan w:val="2"/>
          </w:tcPr>
          <w:p w:rsidR="0035260D" w:rsidRPr="0035260D" w:rsidRDefault="0035260D" w:rsidP="0035260D">
            <w:pPr>
              <w:widowControl/>
              <w:autoSpaceDE/>
              <w:autoSpaceDN/>
              <w:adjustRightInd/>
              <w:jc w:val="center"/>
              <w:rPr>
                <w:szCs w:val="24"/>
              </w:rPr>
            </w:pPr>
            <w:r w:rsidRPr="0035260D">
              <w:rPr>
                <w:szCs w:val="24"/>
              </w:rPr>
              <w:t>Identification Number)</w:t>
            </w:r>
          </w:p>
        </w:tc>
      </w:tr>
      <w:tr w:rsidR="0035260D" w:rsidRPr="0035260D" w:rsidTr="0035260D">
        <w:trPr>
          <w:jc w:val="center"/>
        </w:trPr>
        <w:tc>
          <w:tcPr>
            <w:tcW w:w="3828" w:type="dxa"/>
            <w:gridSpan w:val="2"/>
          </w:tcPr>
          <w:p w:rsidR="0035260D" w:rsidRPr="0035260D" w:rsidRDefault="0035260D" w:rsidP="0035260D">
            <w:pPr>
              <w:widowControl/>
              <w:autoSpaceDE/>
              <w:autoSpaceDN/>
              <w:adjustRightInd/>
              <w:rPr>
                <w:sz w:val="16"/>
                <w:szCs w:val="24"/>
              </w:rPr>
            </w:pPr>
          </w:p>
        </w:tc>
        <w:tc>
          <w:tcPr>
            <w:tcW w:w="3576" w:type="dxa"/>
          </w:tcPr>
          <w:p w:rsidR="0035260D" w:rsidRPr="0035260D" w:rsidRDefault="0035260D" w:rsidP="0035260D">
            <w:pPr>
              <w:widowControl/>
              <w:autoSpaceDE/>
              <w:autoSpaceDN/>
              <w:adjustRightInd/>
              <w:rPr>
                <w:sz w:val="16"/>
                <w:szCs w:val="24"/>
              </w:rPr>
            </w:pPr>
          </w:p>
        </w:tc>
        <w:tc>
          <w:tcPr>
            <w:tcW w:w="3306" w:type="dxa"/>
            <w:gridSpan w:val="2"/>
          </w:tcPr>
          <w:p w:rsidR="0035260D" w:rsidRPr="0035260D" w:rsidRDefault="0035260D" w:rsidP="0035260D">
            <w:pPr>
              <w:widowControl/>
              <w:autoSpaceDE/>
              <w:autoSpaceDN/>
              <w:adjustRightInd/>
              <w:rPr>
                <w:sz w:val="16"/>
                <w:szCs w:val="24"/>
              </w:rPr>
            </w:pPr>
          </w:p>
        </w:tc>
      </w:tr>
      <w:tr w:rsidR="0035260D" w:rsidRPr="0035260D" w:rsidTr="0035260D">
        <w:trPr>
          <w:jc w:val="center"/>
        </w:trPr>
        <w:tc>
          <w:tcPr>
            <w:tcW w:w="3828" w:type="dxa"/>
            <w:gridSpan w:val="2"/>
          </w:tcPr>
          <w:p w:rsidR="0035260D" w:rsidRPr="0035260D" w:rsidRDefault="0035260D" w:rsidP="0035260D">
            <w:pPr>
              <w:widowControl/>
              <w:autoSpaceDE/>
              <w:autoSpaceDN/>
              <w:adjustRightInd/>
              <w:rPr>
                <w:sz w:val="16"/>
                <w:szCs w:val="24"/>
              </w:rPr>
            </w:pPr>
          </w:p>
        </w:tc>
        <w:tc>
          <w:tcPr>
            <w:tcW w:w="3576" w:type="dxa"/>
          </w:tcPr>
          <w:p w:rsidR="0035260D" w:rsidRPr="0035260D" w:rsidRDefault="0035260D" w:rsidP="0035260D">
            <w:pPr>
              <w:widowControl/>
              <w:autoSpaceDE/>
              <w:autoSpaceDN/>
              <w:adjustRightInd/>
              <w:rPr>
                <w:sz w:val="16"/>
                <w:szCs w:val="24"/>
              </w:rPr>
            </w:pPr>
          </w:p>
        </w:tc>
        <w:tc>
          <w:tcPr>
            <w:tcW w:w="3306" w:type="dxa"/>
            <w:gridSpan w:val="2"/>
          </w:tcPr>
          <w:p w:rsidR="0035260D" w:rsidRPr="0035260D" w:rsidRDefault="0035260D" w:rsidP="0035260D">
            <w:pPr>
              <w:widowControl/>
              <w:autoSpaceDE/>
              <w:autoSpaceDN/>
              <w:adjustRightInd/>
              <w:rPr>
                <w:sz w:val="16"/>
                <w:szCs w:val="24"/>
              </w:rPr>
            </w:pPr>
          </w:p>
        </w:tc>
      </w:tr>
      <w:tr w:rsidR="0035260D" w:rsidRPr="0035260D" w:rsidTr="0035260D">
        <w:trPr>
          <w:jc w:val="center"/>
        </w:trPr>
        <w:tc>
          <w:tcPr>
            <w:tcW w:w="2340" w:type="dxa"/>
          </w:tcPr>
          <w:p w:rsidR="0035260D" w:rsidRPr="0035260D" w:rsidRDefault="0035260D" w:rsidP="0035260D">
            <w:pPr>
              <w:widowControl/>
              <w:autoSpaceDE/>
              <w:autoSpaceDN/>
              <w:adjustRightInd/>
              <w:rPr>
                <w:sz w:val="24"/>
                <w:szCs w:val="24"/>
              </w:rPr>
            </w:pPr>
          </w:p>
        </w:tc>
        <w:tc>
          <w:tcPr>
            <w:tcW w:w="6030" w:type="dxa"/>
            <w:gridSpan w:val="3"/>
          </w:tcPr>
          <w:p w:rsidR="0035260D" w:rsidRPr="0035260D" w:rsidRDefault="0035260D" w:rsidP="0035260D">
            <w:pPr>
              <w:widowControl/>
              <w:autoSpaceDE/>
              <w:autoSpaceDN/>
              <w:adjustRightInd/>
              <w:jc w:val="center"/>
              <w:rPr>
                <w:b/>
                <w:bCs/>
                <w:sz w:val="24"/>
                <w:szCs w:val="24"/>
              </w:rPr>
            </w:pPr>
            <w:r w:rsidRPr="0035260D">
              <w:rPr>
                <w:b/>
                <w:bCs/>
                <w:sz w:val="24"/>
                <w:szCs w:val="24"/>
              </w:rPr>
              <w:t>211 College Road East, Princeton, New Jersey</w:t>
            </w:r>
          </w:p>
        </w:tc>
        <w:tc>
          <w:tcPr>
            <w:tcW w:w="2340" w:type="dxa"/>
          </w:tcPr>
          <w:p w:rsidR="0035260D" w:rsidRPr="0035260D" w:rsidRDefault="0035260D" w:rsidP="0035260D">
            <w:pPr>
              <w:widowControl/>
              <w:autoSpaceDE/>
              <w:autoSpaceDN/>
              <w:adjustRightInd/>
              <w:ind w:right="1152"/>
              <w:jc w:val="center"/>
              <w:rPr>
                <w:b/>
                <w:bCs/>
                <w:sz w:val="24"/>
                <w:szCs w:val="24"/>
              </w:rPr>
            </w:pPr>
            <w:r w:rsidRPr="0035260D">
              <w:rPr>
                <w:b/>
                <w:bCs/>
                <w:sz w:val="24"/>
                <w:szCs w:val="24"/>
              </w:rPr>
              <w:t>08540</w:t>
            </w:r>
          </w:p>
        </w:tc>
      </w:tr>
      <w:tr w:rsidR="0035260D" w:rsidRPr="0035260D" w:rsidTr="0035260D">
        <w:trPr>
          <w:jc w:val="center"/>
        </w:trPr>
        <w:tc>
          <w:tcPr>
            <w:tcW w:w="2340" w:type="dxa"/>
          </w:tcPr>
          <w:p w:rsidR="0035260D" w:rsidRPr="0035260D" w:rsidRDefault="0035260D" w:rsidP="0035260D">
            <w:pPr>
              <w:widowControl/>
              <w:autoSpaceDE/>
              <w:autoSpaceDN/>
              <w:adjustRightInd/>
              <w:rPr>
                <w:sz w:val="24"/>
                <w:szCs w:val="24"/>
              </w:rPr>
            </w:pPr>
          </w:p>
        </w:tc>
        <w:tc>
          <w:tcPr>
            <w:tcW w:w="6030" w:type="dxa"/>
            <w:gridSpan w:val="3"/>
          </w:tcPr>
          <w:p w:rsidR="0035260D" w:rsidRPr="0035260D" w:rsidRDefault="0035260D" w:rsidP="0035260D">
            <w:pPr>
              <w:widowControl/>
              <w:autoSpaceDE/>
              <w:autoSpaceDN/>
              <w:adjustRightInd/>
              <w:jc w:val="center"/>
              <w:rPr>
                <w:sz w:val="24"/>
                <w:szCs w:val="24"/>
              </w:rPr>
            </w:pPr>
            <w:r w:rsidRPr="0035260D">
              <w:rPr>
                <w:szCs w:val="24"/>
              </w:rPr>
              <w:t>(Address of principal executive office)</w:t>
            </w:r>
          </w:p>
        </w:tc>
        <w:tc>
          <w:tcPr>
            <w:tcW w:w="2340" w:type="dxa"/>
          </w:tcPr>
          <w:p w:rsidR="0035260D" w:rsidRPr="0035260D" w:rsidRDefault="0035260D" w:rsidP="0035260D">
            <w:pPr>
              <w:widowControl/>
              <w:autoSpaceDE/>
              <w:autoSpaceDN/>
              <w:adjustRightInd/>
              <w:ind w:right="1152"/>
              <w:jc w:val="center"/>
              <w:rPr>
                <w:sz w:val="24"/>
                <w:szCs w:val="24"/>
              </w:rPr>
            </w:pPr>
            <w:r w:rsidRPr="0035260D">
              <w:rPr>
                <w:szCs w:val="24"/>
              </w:rPr>
              <w:t>(Zip Code)</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rPr>
                <w:sz w:val="24"/>
                <w:szCs w:val="24"/>
              </w:rPr>
            </w:pP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sz w:val="24"/>
                <w:szCs w:val="24"/>
              </w:rPr>
            </w:pPr>
            <w:r w:rsidRPr="0035260D">
              <w:rPr>
                <w:b/>
                <w:bCs/>
                <w:sz w:val="24"/>
                <w:szCs w:val="24"/>
              </w:rPr>
              <w:t>(609) 452-8900</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jc w:val="center"/>
              <w:rPr>
                <w:sz w:val="24"/>
                <w:szCs w:val="24"/>
              </w:rPr>
            </w:pPr>
            <w:r w:rsidRPr="0035260D">
              <w:rPr>
                <w:szCs w:val="24"/>
              </w:rPr>
              <w:t>(Registrant’s telephone number including area code)</w:t>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rPr>
                <w:sz w:val="22"/>
                <w:szCs w:val="24"/>
              </w:rPr>
            </w:pPr>
          </w:p>
        </w:tc>
      </w:tr>
      <w:tr w:rsidR="0035260D" w:rsidRPr="0035260D" w:rsidTr="0035260D">
        <w:trPr>
          <w:cantSplit/>
          <w:jc w:val="center"/>
        </w:trPr>
        <w:tc>
          <w:tcPr>
            <w:tcW w:w="10710" w:type="dxa"/>
            <w:gridSpan w:val="5"/>
          </w:tcPr>
          <w:p w:rsidR="0035260D" w:rsidRDefault="0035260D" w:rsidP="0035260D">
            <w:pPr>
              <w:widowControl/>
              <w:autoSpaceDE/>
              <w:autoSpaceDN/>
              <w:adjustRightInd/>
              <w:spacing w:after="120"/>
              <w:rPr>
                <w:szCs w:val="24"/>
              </w:rPr>
            </w:pPr>
            <w:r w:rsidRPr="0035260D">
              <w:rPr>
                <w:szCs w:val="24"/>
              </w:rPr>
              <w:t xml:space="preserve">Indicate by check </w:t>
            </w:r>
            <w:r w:rsidRPr="0035260D">
              <w:rPr>
                <w:szCs w:val="24"/>
              </w:rPr>
              <w:sym w:font="Wingdings" w:char="F0FC"/>
            </w:r>
            <w:r w:rsidRPr="0035260D">
              <w:rPr>
                <w:szCs w:val="24"/>
              </w:rPr>
              <w:t xml:space="preserve">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 for the past 90 days.  Yes  </w:t>
            </w:r>
            <w:bookmarkStart w:id="2" w:name="Check2"/>
            <w:r w:rsidR="000B5CFC">
              <w:rPr>
                <w:szCs w:val="24"/>
              </w:rPr>
              <w:fldChar w:fldCharType="begin">
                <w:ffData>
                  <w:name w:val="Check2"/>
                  <w:enabled/>
                  <w:calcOnExit w:val="0"/>
                  <w:checkBox>
                    <w:sizeAuto/>
                    <w:default w:val="1"/>
                  </w:checkBox>
                </w:ffData>
              </w:fldChar>
            </w:r>
            <w:r w:rsidR="000B5CFC">
              <w:rPr>
                <w:szCs w:val="24"/>
              </w:rPr>
              <w:instrText xml:space="preserve"> FORMCHECKBOX </w:instrText>
            </w:r>
            <w:r w:rsidR="000B5CFC">
              <w:rPr>
                <w:szCs w:val="24"/>
              </w:rPr>
            </w:r>
            <w:r w:rsidR="000B5CFC">
              <w:rPr>
                <w:szCs w:val="24"/>
              </w:rPr>
              <w:fldChar w:fldCharType="end"/>
            </w:r>
            <w:bookmarkEnd w:id="2"/>
            <w:r w:rsidRPr="0035260D">
              <w:rPr>
                <w:szCs w:val="24"/>
              </w:rPr>
              <w:t xml:space="preserve"> No  </w:t>
            </w:r>
            <w:r w:rsidR="000B5CFC">
              <w:rPr>
                <w:szCs w:val="24"/>
              </w:rPr>
              <w:fldChar w:fldCharType="begin">
                <w:ffData>
                  <w:name w:val=""/>
                  <w:enabled/>
                  <w:calcOnExit w:val="0"/>
                  <w:checkBox>
                    <w:sizeAuto/>
                    <w:default w:val="0"/>
                  </w:checkBox>
                </w:ffData>
              </w:fldChar>
            </w:r>
            <w:r w:rsidR="000B5CFC">
              <w:rPr>
                <w:szCs w:val="24"/>
              </w:rPr>
              <w:instrText xml:space="preserve"> FORMCHECKBOX </w:instrText>
            </w:r>
            <w:r w:rsidR="000B5CFC">
              <w:rPr>
                <w:szCs w:val="24"/>
              </w:rPr>
            </w:r>
            <w:r w:rsidR="000B5CFC">
              <w:rPr>
                <w:szCs w:val="24"/>
              </w:rPr>
              <w:fldChar w:fldCharType="end"/>
            </w:r>
          </w:p>
          <w:p w:rsidR="0035260D" w:rsidRPr="0035260D" w:rsidRDefault="0035260D" w:rsidP="00935871">
            <w:pPr>
              <w:widowControl/>
              <w:autoSpaceDE/>
              <w:autoSpaceDN/>
              <w:adjustRightInd/>
              <w:spacing w:after="120"/>
              <w:rPr>
                <w:szCs w:val="24"/>
              </w:rPr>
            </w:pPr>
            <w:r>
              <w:rPr>
                <w:szCs w:val="24"/>
              </w:rPr>
              <w:t>Indicate by check</w:t>
            </w:r>
            <w:r w:rsidR="00935871">
              <w:rPr>
                <w:szCs w:val="24"/>
              </w:rPr>
              <w:t xml:space="preserve"> </w:t>
            </w:r>
            <w:r>
              <w:rPr>
                <w:szCs w:val="24"/>
              </w:rPr>
              <w:t xml:space="preserve"> </w:t>
            </w:r>
            <w:r w:rsidR="00935871" w:rsidRPr="0035260D">
              <w:rPr>
                <w:szCs w:val="24"/>
              </w:rPr>
              <w:sym w:font="Wingdings" w:char="F0FC"/>
            </w:r>
            <w:r>
              <w:rPr>
                <w:szCs w:val="24"/>
              </w:rPr>
              <w:t xml:space="preserve">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  </w:t>
            </w:r>
            <w:r w:rsidRPr="0035260D">
              <w:rPr>
                <w:szCs w:val="24"/>
              </w:rPr>
              <w:t xml:space="preserve">Yes  </w:t>
            </w:r>
            <w:r w:rsidR="000B5CFC">
              <w:rPr>
                <w:szCs w:val="24"/>
              </w:rPr>
              <w:fldChar w:fldCharType="begin">
                <w:ffData>
                  <w:name w:val=""/>
                  <w:enabled/>
                  <w:calcOnExit w:val="0"/>
                  <w:checkBox>
                    <w:sizeAuto/>
                    <w:default w:val="1"/>
                  </w:checkBox>
                </w:ffData>
              </w:fldChar>
            </w:r>
            <w:r w:rsidR="000B5CFC">
              <w:rPr>
                <w:szCs w:val="24"/>
              </w:rPr>
              <w:instrText xml:space="preserve"> FORMCHECKBOX </w:instrText>
            </w:r>
            <w:r w:rsidR="000B5CFC">
              <w:rPr>
                <w:szCs w:val="24"/>
              </w:rPr>
            </w:r>
            <w:r w:rsidR="000B5CFC">
              <w:rPr>
                <w:szCs w:val="24"/>
              </w:rPr>
              <w:fldChar w:fldCharType="end"/>
            </w:r>
            <w:r w:rsidRPr="0035260D">
              <w:rPr>
                <w:szCs w:val="24"/>
              </w:rPr>
              <w:t xml:space="preserve">No  </w:t>
            </w:r>
            <w:r w:rsidRPr="0035260D">
              <w:rPr>
                <w:szCs w:val="24"/>
              </w:rPr>
              <w:fldChar w:fldCharType="begin">
                <w:ffData>
                  <w:name w:val=""/>
                  <w:enabled/>
                  <w:calcOnExit w:val="0"/>
                  <w:checkBox>
                    <w:sizeAuto/>
                    <w:default w:val="0"/>
                  </w:checkBox>
                </w:ffData>
              </w:fldChar>
            </w:r>
            <w:r w:rsidRPr="0035260D">
              <w:rPr>
                <w:szCs w:val="24"/>
              </w:rPr>
              <w:instrText xml:space="preserve"> FORMCHECKBOX </w:instrText>
            </w:r>
            <w:r w:rsidRPr="0035260D">
              <w:rPr>
                <w:szCs w:val="24"/>
              </w:rPr>
            </w:r>
            <w:r w:rsidRPr="0035260D">
              <w:rPr>
                <w:szCs w:val="24"/>
              </w:rPr>
              <w:fldChar w:fldCharType="end"/>
            </w:r>
          </w:p>
        </w:tc>
      </w:tr>
      <w:tr w:rsidR="0035260D" w:rsidRPr="0035260D" w:rsidTr="0035260D">
        <w:trPr>
          <w:cantSplit/>
          <w:jc w:val="center"/>
        </w:trPr>
        <w:tc>
          <w:tcPr>
            <w:tcW w:w="10710" w:type="dxa"/>
            <w:gridSpan w:val="5"/>
          </w:tcPr>
          <w:p w:rsidR="0035260D" w:rsidRPr="0035260D" w:rsidRDefault="0035260D" w:rsidP="0035260D">
            <w:pPr>
              <w:widowControl/>
              <w:autoSpaceDE/>
              <w:autoSpaceDN/>
              <w:adjustRightInd/>
              <w:spacing w:after="120"/>
              <w:rPr>
                <w:szCs w:val="24"/>
              </w:rPr>
            </w:pPr>
            <w:r w:rsidRPr="0035260D">
              <w:rPr>
                <w:szCs w:val="24"/>
              </w:rPr>
              <w:t>Indicate by check mark whether the registrant is a large accelerated filer, an accelerated filer, or a non-accelerated filer.  See definition of “accelerate filer and large accelerated filer” in Rule 12b-2 of the Exchange Act.</w:t>
            </w:r>
          </w:p>
          <w:p w:rsidR="0035260D" w:rsidRPr="0035260D" w:rsidRDefault="0035260D" w:rsidP="0035260D">
            <w:pPr>
              <w:widowControl/>
              <w:tabs>
                <w:tab w:val="left" w:pos="4167"/>
                <w:tab w:val="left" w:pos="7317"/>
              </w:tabs>
              <w:autoSpaceDE/>
              <w:autoSpaceDN/>
              <w:adjustRightInd/>
              <w:spacing w:after="120"/>
              <w:rPr>
                <w:szCs w:val="24"/>
              </w:rPr>
            </w:pPr>
            <w:r w:rsidRPr="0035260D">
              <w:rPr>
                <w:szCs w:val="24"/>
              </w:rPr>
              <w:t>Large accelerated filer [   ]</w:t>
            </w:r>
            <w:r w:rsidRPr="0035260D">
              <w:rPr>
                <w:szCs w:val="24"/>
              </w:rPr>
              <w:tab/>
              <w:t>Accelerated filer  [</w:t>
            </w:r>
            <w:r w:rsidR="00AC6A3E">
              <w:rPr>
                <w:szCs w:val="24"/>
              </w:rPr>
              <w:t xml:space="preserve">   </w:t>
            </w:r>
            <w:r w:rsidRPr="0035260D">
              <w:rPr>
                <w:szCs w:val="24"/>
              </w:rPr>
              <w:t>]</w:t>
            </w:r>
            <w:r w:rsidRPr="0035260D">
              <w:rPr>
                <w:szCs w:val="24"/>
              </w:rPr>
              <w:tab/>
              <w:t xml:space="preserve">Non-accelerated filer  [ </w:t>
            </w:r>
            <w:r w:rsidR="00D45BFD">
              <w:rPr>
                <w:szCs w:val="24"/>
              </w:rPr>
              <w:t>X</w:t>
            </w:r>
            <w:r w:rsidRPr="0035260D">
              <w:rPr>
                <w:szCs w:val="24"/>
              </w:rPr>
              <w:t xml:space="preserve"> ]</w:t>
            </w:r>
          </w:p>
          <w:p w:rsidR="0035260D" w:rsidRPr="0035260D" w:rsidRDefault="0035260D" w:rsidP="0035260D">
            <w:pPr>
              <w:widowControl/>
              <w:tabs>
                <w:tab w:val="left" w:pos="4167"/>
                <w:tab w:val="left" w:pos="7317"/>
              </w:tabs>
              <w:autoSpaceDE/>
              <w:autoSpaceDN/>
              <w:adjustRightInd/>
              <w:spacing w:after="120"/>
              <w:jc w:val="center"/>
              <w:rPr>
                <w:szCs w:val="24"/>
              </w:rPr>
            </w:pPr>
            <w:r w:rsidRPr="0035260D">
              <w:rPr>
                <w:szCs w:val="24"/>
              </w:rPr>
              <w:t xml:space="preserve">Indicate by check mark whether the registrant is a shell company (as defined in Rule 12b-2 of the Exchange Act).  Yes  </w:t>
            </w:r>
            <w:r w:rsidRPr="0035260D">
              <w:rPr>
                <w:szCs w:val="24"/>
              </w:rPr>
              <w:fldChar w:fldCharType="begin">
                <w:ffData>
                  <w:name w:val=""/>
                  <w:enabled/>
                  <w:calcOnExit w:val="0"/>
                  <w:checkBox>
                    <w:sizeAuto/>
                    <w:default w:val="0"/>
                  </w:checkBox>
                </w:ffData>
              </w:fldChar>
            </w:r>
            <w:r w:rsidRPr="0035260D">
              <w:rPr>
                <w:szCs w:val="24"/>
              </w:rPr>
              <w:instrText xml:space="preserve"> FORMCHECKBOX </w:instrText>
            </w:r>
            <w:r w:rsidRPr="0035260D">
              <w:rPr>
                <w:szCs w:val="24"/>
              </w:rPr>
            </w:r>
            <w:r w:rsidRPr="0035260D">
              <w:rPr>
                <w:szCs w:val="24"/>
              </w:rPr>
              <w:fldChar w:fldCharType="end"/>
            </w:r>
            <w:r w:rsidRPr="0035260D">
              <w:rPr>
                <w:szCs w:val="24"/>
              </w:rPr>
              <w:t xml:space="preserve"> No  </w:t>
            </w:r>
            <w:r w:rsidRPr="0035260D">
              <w:rPr>
                <w:szCs w:val="24"/>
              </w:rPr>
              <w:fldChar w:fldCharType="begin">
                <w:ffData>
                  <w:name w:val=""/>
                  <w:enabled/>
                  <w:calcOnExit w:val="0"/>
                  <w:checkBox>
                    <w:sizeAuto/>
                    <w:default w:val="1"/>
                  </w:checkBox>
                </w:ffData>
              </w:fldChar>
            </w:r>
            <w:r w:rsidRPr="0035260D">
              <w:rPr>
                <w:szCs w:val="24"/>
              </w:rPr>
              <w:instrText xml:space="preserve"> FORMCHECKBOX </w:instrText>
            </w:r>
            <w:r w:rsidRPr="0035260D">
              <w:rPr>
                <w:szCs w:val="24"/>
              </w:rPr>
            </w:r>
            <w:r w:rsidRPr="0035260D">
              <w:rPr>
                <w:szCs w:val="24"/>
              </w:rPr>
              <w:fldChar w:fldCharType="end"/>
            </w:r>
          </w:p>
        </w:tc>
      </w:tr>
      <w:tr w:rsidR="0035260D" w:rsidRPr="0035260D" w:rsidTr="0035260D">
        <w:trPr>
          <w:cantSplit/>
          <w:jc w:val="center"/>
        </w:trPr>
        <w:tc>
          <w:tcPr>
            <w:tcW w:w="10710" w:type="dxa"/>
            <w:gridSpan w:val="5"/>
          </w:tcPr>
          <w:p w:rsidR="0035260D" w:rsidRPr="0035260D" w:rsidRDefault="0035260D" w:rsidP="00AC6A3E">
            <w:pPr>
              <w:widowControl/>
              <w:autoSpaceDE/>
              <w:autoSpaceDN/>
              <w:adjustRightInd/>
              <w:rPr>
                <w:szCs w:val="24"/>
              </w:rPr>
            </w:pPr>
          </w:p>
        </w:tc>
      </w:tr>
    </w:tbl>
    <w:p w:rsidR="000C1B98" w:rsidRDefault="000C1B98" w:rsidP="00093F15">
      <w:pPr>
        <w:keepNext/>
        <w:keepLines/>
        <w:widowControl/>
        <w:tabs>
          <w:tab w:val="left" w:pos="720"/>
          <w:tab w:val="left" w:pos="1440"/>
          <w:tab w:val="center" w:pos="5400"/>
        </w:tabs>
        <w:suppressAutoHyphens/>
        <w:spacing w:after="240"/>
        <w:rPr>
          <w:b/>
          <w:bCs/>
        </w:rPr>
      </w:pPr>
    </w:p>
    <w:p w:rsidR="00560013" w:rsidRDefault="00560013" w:rsidP="00560013">
      <w:pPr>
        <w:keepNext/>
        <w:keepLines/>
        <w:widowControl/>
        <w:tabs>
          <w:tab w:val="left" w:pos="720"/>
          <w:tab w:val="left" w:pos="1440"/>
          <w:tab w:val="center" w:pos="5400"/>
        </w:tabs>
        <w:suppressAutoHyphens/>
        <w:spacing w:after="240"/>
        <w:jc w:val="center"/>
        <w:rPr>
          <w:b/>
          <w:bCs/>
          <w:sz w:val="24"/>
          <w:szCs w:val="24"/>
        </w:rPr>
      </w:pPr>
      <w:r w:rsidRPr="00382C6B">
        <w:rPr>
          <w:b/>
          <w:bCs/>
          <w:sz w:val="24"/>
          <w:szCs w:val="24"/>
        </w:rPr>
        <w:t>TRAC Intermodal LLC and Subsidiaries</w:t>
      </w:r>
    </w:p>
    <w:p w:rsidR="00560013" w:rsidRPr="00382C6B" w:rsidRDefault="003511F9" w:rsidP="003511F9">
      <w:pPr>
        <w:keepNext/>
        <w:keepLines/>
        <w:widowControl/>
        <w:tabs>
          <w:tab w:val="left" w:pos="720"/>
          <w:tab w:val="left" w:pos="1440"/>
          <w:tab w:val="center" w:pos="5400"/>
        </w:tabs>
        <w:suppressAutoHyphens/>
        <w:spacing w:after="240"/>
        <w:jc w:val="center"/>
        <w:rPr>
          <w:b/>
          <w:bCs/>
          <w:sz w:val="24"/>
          <w:szCs w:val="24"/>
        </w:rPr>
      </w:pPr>
      <w:r>
        <w:rPr>
          <w:b/>
          <w:bCs/>
          <w:sz w:val="24"/>
          <w:szCs w:val="24"/>
        </w:rPr>
        <w:t>Form 10-Q</w:t>
      </w:r>
    </w:p>
    <w:p w:rsidR="00560013" w:rsidRDefault="00166321" w:rsidP="00560013">
      <w:pPr>
        <w:widowControl/>
        <w:tabs>
          <w:tab w:val="center" w:pos="5400"/>
        </w:tabs>
        <w:suppressAutoHyphens/>
        <w:spacing w:after="240"/>
        <w:jc w:val="center"/>
        <w:rPr>
          <w:b/>
          <w:bCs/>
          <w:sz w:val="24"/>
          <w:szCs w:val="24"/>
        </w:rPr>
      </w:pPr>
      <w:r>
        <w:rPr>
          <w:b/>
          <w:bCs/>
          <w:sz w:val="24"/>
          <w:szCs w:val="24"/>
        </w:rPr>
        <w:t>Index</w:t>
      </w:r>
    </w:p>
    <w:tbl>
      <w:tblPr>
        <w:tblW w:w="4899" w:type="pct"/>
        <w:tblCellSpacing w:w="0" w:type="dxa"/>
        <w:tblLayout w:type="fixed"/>
        <w:tblCellMar>
          <w:left w:w="0" w:type="dxa"/>
          <w:right w:w="0" w:type="dxa"/>
        </w:tblCellMar>
        <w:tblLook w:val="04A0" w:firstRow="1" w:lastRow="0" w:firstColumn="1" w:lastColumn="0" w:noHBand="0" w:noVBand="1"/>
      </w:tblPr>
      <w:tblGrid>
        <w:gridCol w:w="1331"/>
        <w:gridCol w:w="20"/>
        <w:gridCol w:w="7733"/>
        <w:gridCol w:w="41"/>
        <w:gridCol w:w="14"/>
        <w:gridCol w:w="717"/>
        <w:gridCol w:w="20"/>
      </w:tblGrid>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122611" w:rsidRDefault="00093F15" w:rsidP="00093F15">
            <w:pPr>
              <w:widowControl/>
              <w:tabs>
                <w:tab w:val="center" w:pos="5400"/>
              </w:tabs>
              <w:suppressAutoHyphens/>
              <w:spacing w:after="240"/>
              <w:rPr>
                <w:bCs/>
                <w:szCs w:val="20"/>
              </w:rPr>
            </w:pPr>
          </w:p>
        </w:tc>
        <w:tc>
          <w:tcPr>
            <w:tcW w:w="373" w:type="pct"/>
            <w:gridSpan w:val="2"/>
            <w:hideMark/>
          </w:tcPr>
          <w:p w:rsidR="00093F15" w:rsidRPr="00122611" w:rsidRDefault="00093F15" w:rsidP="00C31F85">
            <w:pPr>
              <w:widowControl/>
              <w:tabs>
                <w:tab w:val="center" w:pos="5400"/>
              </w:tabs>
              <w:suppressAutoHyphens/>
              <w:spacing w:after="240"/>
              <w:rPr>
                <w:bCs/>
                <w:szCs w:val="20"/>
              </w:rPr>
            </w:pPr>
            <w:r w:rsidRPr="00122611">
              <w:rPr>
                <w:bCs/>
                <w:szCs w:val="20"/>
                <w:u w:val="single"/>
              </w:rPr>
              <w:t>Page No.</w:t>
            </w:r>
          </w:p>
        </w:tc>
      </w:tr>
      <w:tr w:rsidR="000E6609" w:rsidRPr="00122611" w:rsidTr="00EC3097">
        <w:trPr>
          <w:gridAfter w:val="1"/>
          <w:wAfter w:w="10" w:type="pct"/>
          <w:tblCellSpacing w:w="0" w:type="dxa"/>
        </w:trPr>
        <w:tc>
          <w:tcPr>
            <w:tcW w:w="4620" w:type="pct"/>
            <w:gridSpan w:val="4"/>
          </w:tcPr>
          <w:p w:rsidR="000E6609" w:rsidRPr="000E6609" w:rsidRDefault="000E6609" w:rsidP="0099434D">
            <w:pPr>
              <w:widowControl/>
              <w:tabs>
                <w:tab w:val="center" w:pos="5400"/>
              </w:tabs>
              <w:suppressAutoHyphens/>
              <w:spacing w:after="240"/>
              <w:rPr>
                <w:bCs/>
                <w:szCs w:val="20"/>
              </w:rPr>
            </w:pPr>
            <w:r w:rsidRPr="000E6609">
              <w:rPr>
                <w:bCs/>
                <w:szCs w:val="20"/>
              </w:rPr>
              <w:t xml:space="preserve">FORWARD-LOOKING STATEMENTS </w:t>
            </w:r>
          </w:p>
        </w:tc>
        <w:tc>
          <w:tcPr>
            <w:tcW w:w="370" w:type="pct"/>
            <w:gridSpan w:val="2"/>
          </w:tcPr>
          <w:p w:rsidR="000E6609" w:rsidRPr="000E6609" w:rsidRDefault="000E6609" w:rsidP="000E6609">
            <w:pPr>
              <w:widowControl/>
              <w:tabs>
                <w:tab w:val="center" w:pos="5400"/>
              </w:tabs>
              <w:suppressAutoHyphens/>
              <w:spacing w:after="240"/>
              <w:rPr>
                <w:bCs/>
                <w:szCs w:val="20"/>
              </w:rPr>
            </w:pPr>
            <w:r>
              <w:rPr>
                <w:bCs/>
                <w:szCs w:val="20"/>
              </w:rPr>
              <w:t xml:space="preserve">   3</w:t>
            </w:r>
          </w:p>
        </w:tc>
      </w:tr>
      <w:tr w:rsidR="00761203" w:rsidRPr="00122611" w:rsidTr="00EC3097">
        <w:trPr>
          <w:gridAfter w:val="1"/>
          <w:wAfter w:w="10" w:type="pct"/>
          <w:tblCellSpacing w:w="0" w:type="dxa"/>
        </w:trPr>
        <w:tc>
          <w:tcPr>
            <w:tcW w:w="4620" w:type="pct"/>
            <w:gridSpan w:val="4"/>
            <w:hideMark/>
          </w:tcPr>
          <w:p w:rsidR="00093F15" w:rsidRPr="00122611" w:rsidRDefault="0099434D" w:rsidP="0099434D">
            <w:pPr>
              <w:widowControl/>
              <w:tabs>
                <w:tab w:val="center" w:pos="5400"/>
              </w:tabs>
              <w:suppressAutoHyphens/>
              <w:spacing w:after="240"/>
              <w:rPr>
                <w:b/>
                <w:bCs/>
                <w:szCs w:val="20"/>
              </w:rPr>
            </w:pPr>
            <w:r w:rsidRPr="00122611">
              <w:rPr>
                <w:b/>
                <w:bCs/>
                <w:szCs w:val="20"/>
              </w:rPr>
              <w:t>PART I.  FINANCIAL INFORMATION</w:t>
            </w:r>
          </w:p>
        </w:tc>
        <w:tc>
          <w:tcPr>
            <w:tcW w:w="370" w:type="pct"/>
            <w:gridSpan w:val="2"/>
            <w:hideMark/>
          </w:tcPr>
          <w:p w:rsidR="00093F15" w:rsidRPr="00122611" w:rsidRDefault="00093F15" w:rsidP="00093F15">
            <w:pPr>
              <w:widowControl/>
              <w:tabs>
                <w:tab w:val="center" w:pos="5400"/>
              </w:tabs>
              <w:suppressAutoHyphens/>
              <w:spacing w:after="240"/>
              <w:rPr>
                <w:bCs/>
                <w:szCs w:val="20"/>
                <w:u w:val="single"/>
              </w:rPr>
            </w:pP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122611" w:rsidRDefault="00093F15" w:rsidP="00093F15">
            <w:pPr>
              <w:widowControl/>
              <w:tabs>
                <w:tab w:val="center" w:pos="5400"/>
              </w:tabs>
              <w:suppressAutoHyphens/>
              <w:spacing w:after="240"/>
              <w:rPr>
                <w:bCs/>
                <w:szCs w:val="20"/>
              </w:rPr>
            </w:pPr>
          </w:p>
        </w:tc>
        <w:tc>
          <w:tcPr>
            <w:tcW w:w="373" w:type="pct"/>
            <w:gridSpan w:val="2"/>
            <w:hideMark/>
          </w:tcPr>
          <w:p w:rsidR="00093F15" w:rsidRPr="00122611" w:rsidRDefault="00093F15" w:rsidP="00093F15">
            <w:pPr>
              <w:widowControl/>
              <w:tabs>
                <w:tab w:val="center" w:pos="5400"/>
              </w:tabs>
              <w:suppressAutoHyphens/>
              <w:spacing w:after="240"/>
              <w:rPr>
                <w:bCs/>
                <w:szCs w:val="20"/>
                <w:u w:val="single"/>
              </w:rPr>
            </w:pPr>
          </w:p>
        </w:tc>
      </w:tr>
      <w:tr w:rsidR="00761203" w:rsidRPr="00122611" w:rsidTr="007E1D11">
        <w:trPr>
          <w:tblCellSpacing w:w="0" w:type="dxa"/>
        </w:trPr>
        <w:tc>
          <w:tcPr>
            <w:tcW w:w="674" w:type="pct"/>
            <w:hideMark/>
          </w:tcPr>
          <w:p w:rsidR="00093F15" w:rsidRPr="00122611" w:rsidRDefault="0099434D" w:rsidP="0099434D">
            <w:pPr>
              <w:widowControl/>
              <w:tabs>
                <w:tab w:val="center" w:pos="5400"/>
              </w:tabs>
              <w:suppressAutoHyphens/>
              <w:spacing w:after="240"/>
              <w:rPr>
                <w:bCs/>
                <w:szCs w:val="20"/>
              </w:rPr>
            </w:pPr>
            <w:r w:rsidRPr="00122611">
              <w:rPr>
                <w:bCs/>
                <w:szCs w:val="20"/>
              </w:rPr>
              <w:t xml:space="preserve">Item 1. </w:t>
            </w: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122611" w:rsidRDefault="00166321" w:rsidP="00093F15">
            <w:pPr>
              <w:widowControl/>
              <w:tabs>
                <w:tab w:val="center" w:pos="5400"/>
              </w:tabs>
              <w:suppressAutoHyphens/>
              <w:spacing w:after="240"/>
              <w:rPr>
                <w:bCs/>
                <w:szCs w:val="20"/>
              </w:rPr>
            </w:pPr>
            <w:r>
              <w:rPr>
                <w:bCs/>
                <w:szCs w:val="20"/>
              </w:rPr>
              <w:t xml:space="preserve">Consolidated </w:t>
            </w:r>
            <w:r w:rsidR="0099434D" w:rsidRPr="00122611">
              <w:rPr>
                <w:bCs/>
                <w:szCs w:val="20"/>
              </w:rPr>
              <w:t>Financial Statements</w:t>
            </w:r>
            <w:r>
              <w:rPr>
                <w:bCs/>
                <w:szCs w:val="20"/>
              </w:rPr>
              <w:t xml:space="preserve"> (Unaudited)</w:t>
            </w:r>
          </w:p>
        </w:tc>
        <w:tc>
          <w:tcPr>
            <w:tcW w:w="373" w:type="pct"/>
            <w:gridSpan w:val="2"/>
            <w:hideMark/>
          </w:tcPr>
          <w:p w:rsidR="00093F15" w:rsidRPr="00122611" w:rsidRDefault="00093F15" w:rsidP="00093F15">
            <w:pPr>
              <w:widowControl/>
              <w:tabs>
                <w:tab w:val="center" w:pos="5400"/>
              </w:tabs>
              <w:suppressAutoHyphens/>
              <w:spacing w:after="240"/>
              <w:rPr>
                <w:bCs/>
                <w:szCs w:val="20"/>
                <w:u w:val="single"/>
              </w:rPr>
            </w:pP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u w:val="single"/>
              </w:rPr>
            </w:pPr>
          </w:p>
        </w:tc>
        <w:tc>
          <w:tcPr>
            <w:tcW w:w="10" w:type="pct"/>
            <w:hideMark/>
          </w:tcPr>
          <w:p w:rsidR="00093F15" w:rsidRPr="00122611" w:rsidRDefault="00093F15" w:rsidP="00093F15">
            <w:pPr>
              <w:widowControl/>
              <w:tabs>
                <w:tab w:val="center" w:pos="5400"/>
              </w:tabs>
              <w:suppressAutoHyphens/>
              <w:spacing w:after="240"/>
              <w:rPr>
                <w:bCs/>
                <w:szCs w:val="20"/>
                <w:u w:val="single"/>
              </w:rPr>
            </w:pPr>
          </w:p>
        </w:tc>
        <w:tc>
          <w:tcPr>
            <w:tcW w:w="3943" w:type="pct"/>
            <w:gridSpan w:val="3"/>
            <w:hideMark/>
          </w:tcPr>
          <w:p w:rsidR="00093F15" w:rsidRPr="00122611" w:rsidRDefault="00093F15" w:rsidP="00093F15">
            <w:pPr>
              <w:widowControl/>
              <w:tabs>
                <w:tab w:val="center" w:pos="5400"/>
              </w:tabs>
              <w:suppressAutoHyphens/>
              <w:spacing w:after="240"/>
              <w:rPr>
                <w:bCs/>
                <w:szCs w:val="20"/>
                <w:u w:val="single"/>
              </w:rPr>
            </w:pPr>
          </w:p>
        </w:tc>
        <w:tc>
          <w:tcPr>
            <w:tcW w:w="373" w:type="pct"/>
            <w:gridSpan w:val="2"/>
            <w:hideMark/>
          </w:tcPr>
          <w:p w:rsidR="00093F15" w:rsidRPr="00122611" w:rsidRDefault="00093F15" w:rsidP="00093F15">
            <w:pPr>
              <w:widowControl/>
              <w:tabs>
                <w:tab w:val="center" w:pos="5400"/>
              </w:tabs>
              <w:suppressAutoHyphens/>
              <w:spacing w:after="240"/>
              <w:rPr>
                <w:bCs/>
                <w:szCs w:val="20"/>
                <w:u w:val="single"/>
              </w:rPr>
            </w:pPr>
          </w:p>
        </w:tc>
      </w:tr>
      <w:tr w:rsidR="00761203" w:rsidRPr="00122611" w:rsidTr="007E1D11">
        <w:trPr>
          <w:gridAfter w:val="1"/>
          <w:wAfter w:w="10" w:type="pct"/>
          <w:tblCellSpacing w:w="0" w:type="dxa"/>
        </w:trPr>
        <w:tc>
          <w:tcPr>
            <w:tcW w:w="674" w:type="pct"/>
            <w:hideMark/>
          </w:tcPr>
          <w:p w:rsidR="00093F15" w:rsidRPr="00122611" w:rsidRDefault="00093F15" w:rsidP="00093F15">
            <w:pPr>
              <w:widowControl/>
              <w:tabs>
                <w:tab w:val="center" w:pos="5400"/>
              </w:tabs>
              <w:suppressAutoHyphens/>
              <w:spacing w:after="240"/>
              <w:rPr>
                <w:bCs/>
                <w:szCs w:val="20"/>
                <w:u w:val="single"/>
              </w:rPr>
            </w:pPr>
          </w:p>
        </w:tc>
        <w:tc>
          <w:tcPr>
            <w:tcW w:w="3925" w:type="pct"/>
            <w:gridSpan w:val="2"/>
            <w:hideMark/>
          </w:tcPr>
          <w:p w:rsidR="00093F15" w:rsidRPr="00122611" w:rsidRDefault="0099434D" w:rsidP="00414104">
            <w:pPr>
              <w:widowControl/>
              <w:tabs>
                <w:tab w:val="center" w:pos="5400"/>
              </w:tabs>
              <w:suppressAutoHyphens/>
              <w:spacing w:after="240"/>
              <w:rPr>
                <w:bCs/>
                <w:szCs w:val="20"/>
              </w:rPr>
            </w:pPr>
            <w:r w:rsidRPr="00122611">
              <w:rPr>
                <w:bCs/>
                <w:szCs w:val="20"/>
              </w:rPr>
              <w:t xml:space="preserve">Consolidated Balance Sheets at </w:t>
            </w:r>
            <w:r w:rsidR="00414104">
              <w:rPr>
                <w:bCs/>
                <w:szCs w:val="20"/>
              </w:rPr>
              <w:t>March</w:t>
            </w:r>
            <w:r w:rsidR="00EC3097" w:rsidRPr="00122611">
              <w:rPr>
                <w:bCs/>
                <w:szCs w:val="20"/>
              </w:rPr>
              <w:t xml:space="preserve"> 3</w:t>
            </w:r>
            <w:r w:rsidR="00414104">
              <w:rPr>
                <w:bCs/>
                <w:szCs w:val="20"/>
              </w:rPr>
              <w:t>1</w:t>
            </w:r>
            <w:r w:rsidR="00EC3097" w:rsidRPr="00122611">
              <w:rPr>
                <w:bCs/>
                <w:szCs w:val="20"/>
              </w:rPr>
              <w:t>, 201</w:t>
            </w:r>
            <w:r w:rsidR="00414104">
              <w:rPr>
                <w:bCs/>
                <w:szCs w:val="20"/>
              </w:rPr>
              <w:t>4</w:t>
            </w:r>
            <w:r w:rsidR="00EC3097" w:rsidRPr="00122611">
              <w:rPr>
                <w:bCs/>
                <w:szCs w:val="20"/>
              </w:rPr>
              <w:t xml:space="preserve"> and </w:t>
            </w:r>
            <w:r w:rsidRPr="00122611">
              <w:rPr>
                <w:bCs/>
                <w:szCs w:val="20"/>
              </w:rPr>
              <w:t>December 31, 201</w:t>
            </w:r>
            <w:r w:rsidR="00414104">
              <w:rPr>
                <w:bCs/>
                <w:szCs w:val="20"/>
              </w:rPr>
              <w:t>3</w:t>
            </w:r>
          </w:p>
        </w:tc>
        <w:tc>
          <w:tcPr>
            <w:tcW w:w="391" w:type="pct"/>
            <w:gridSpan w:val="3"/>
            <w:hideMark/>
          </w:tcPr>
          <w:p w:rsidR="00093F15" w:rsidRPr="00122611" w:rsidRDefault="0022523D" w:rsidP="00DD3E9A">
            <w:pPr>
              <w:widowControl/>
              <w:tabs>
                <w:tab w:val="center" w:pos="5400"/>
              </w:tabs>
              <w:suppressAutoHyphens/>
              <w:spacing w:after="240"/>
              <w:rPr>
                <w:bCs/>
                <w:szCs w:val="20"/>
              </w:rPr>
            </w:pPr>
            <w:r>
              <w:rPr>
                <w:bCs/>
                <w:szCs w:val="20"/>
              </w:rPr>
              <w:t xml:space="preserve">    </w:t>
            </w:r>
            <w:r w:rsidR="00DD3E9A">
              <w:rPr>
                <w:bCs/>
                <w:szCs w:val="20"/>
              </w:rPr>
              <w:t>5</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u w:val="single"/>
              </w:rPr>
            </w:pPr>
          </w:p>
        </w:tc>
        <w:tc>
          <w:tcPr>
            <w:tcW w:w="10" w:type="pct"/>
            <w:hideMark/>
          </w:tcPr>
          <w:p w:rsidR="00093F15" w:rsidRPr="00122611" w:rsidRDefault="00093F15" w:rsidP="00093F15">
            <w:pPr>
              <w:widowControl/>
              <w:tabs>
                <w:tab w:val="center" w:pos="5400"/>
              </w:tabs>
              <w:suppressAutoHyphens/>
              <w:spacing w:after="240"/>
              <w:rPr>
                <w:bCs/>
                <w:szCs w:val="20"/>
                <w:u w:val="single"/>
              </w:rPr>
            </w:pPr>
          </w:p>
        </w:tc>
        <w:tc>
          <w:tcPr>
            <w:tcW w:w="3943" w:type="pct"/>
            <w:gridSpan w:val="3"/>
            <w:hideMark/>
          </w:tcPr>
          <w:p w:rsidR="00093F15" w:rsidRPr="00122611" w:rsidRDefault="00093F15" w:rsidP="00093F15">
            <w:pPr>
              <w:widowControl/>
              <w:tabs>
                <w:tab w:val="center" w:pos="5400"/>
              </w:tabs>
              <w:suppressAutoHyphens/>
              <w:spacing w:after="240"/>
              <w:rPr>
                <w:bCs/>
                <w:szCs w:val="20"/>
                <w:u w:val="single"/>
              </w:rPr>
            </w:pPr>
          </w:p>
        </w:tc>
        <w:tc>
          <w:tcPr>
            <w:tcW w:w="373" w:type="pct"/>
            <w:gridSpan w:val="2"/>
            <w:hideMark/>
          </w:tcPr>
          <w:p w:rsidR="00093F15" w:rsidRPr="00122611" w:rsidRDefault="00093F15" w:rsidP="00093F15">
            <w:pPr>
              <w:widowControl/>
              <w:tabs>
                <w:tab w:val="center" w:pos="5400"/>
              </w:tabs>
              <w:suppressAutoHyphens/>
              <w:spacing w:after="240"/>
              <w:rPr>
                <w:bCs/>
                <w:szCs w:val="20"/>
                <w:u w:val="single"/>
              </w:rPr>
            </w:pPr>
          </w:p>
        </w:tc>
      </w:tr>
      <w:tr w:rsidR="00761203" w:rsidRPr="00122611" w:rsidTr="007E1D11">
        <w:trPr>
          <w:gridAfter w:val="1"/>
          <w:wAfter w:w="10" w:type="pct"/>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3946" w:type="pct"/>
            <w:gridSpan w:val="3"/>
            <w:hideMark/>
          </w:tcPr>
          <w:p w:rsidR="00093F15" w:rsidRPr="00122611" w:rsidRDefault="00093F15" w:rsidP="00414104">
            <w:pPr>
              <w:widowControl/>
              <w:tabs>
                <w:tab w:val="center" w:pos="5400"/>
              </w:tabs>
              <w:suppressAutoHyphens/>
              <w:spacing w:after="240"/>
              <w:rPr>
                <w:bCs/>
                <w:szCs w:val="20"/>
              </w:rPr>
            </w:pPr>
            <w:r w:rsidRPr="00122611">
              <w:rPr>
                <w:bCs/>
                <w:szCs w:val="20"/>
              </w:rPr>
              <w:t>Consolidated Statements of Operations – Three Months</w:t>
            </w:r>
            <w:r w:rsidR="00414104">
              <w:rPr>
                <w:bCs/>
                <w:szCs w:val="20"/>
              </w:rPr>
              <w:t xml:space="preserve"> Ended March 31, 2014 and 2013</w:t>
            </w:r>
          </w:p>
        </w:tc>
        <w:tc>
          <w:tcPr>
            <w:tcW w:w="370" w:type="pct"/>
            <w:gridSpan w:val="2"/>
            <w:hideMark/>
          </w:tcPr>
          <w:p w:rsidR="00093F15" w:rsidRPr="00414104" w:rsidRDefault="00414104" w:rsidP="00DD3E9A">
            <w:pPr>
              <w:widowControl/>
              <w:tabs>
                <w:tab w:val="center" w:pos="5400"/>
              </w:tabs>
              <w:suppressAutoHyphens/>
              <w:spacing w:after="240"/>
              <w:rPr>
                <w:bCs/>
                <w:szCs w:val="20"/>
              </w:rPr>
            </w:pPr>
            <w:r>
              <w:rPr>
                <w:bCs/>
                <w:szCs w:val="20"/>
              </w:rPr>
              <w:t xml:space="preserve">    </w:t>
            </w:r>
            <w:r w:rsidR="00DD3E9A">
              <w:rPr>
                <w:bCs/>
                <w:szCs w:val="20"/>
              </w:rPr>
              <w:t>6</w:t>
            </w:r>
          </w:p>
        </w:tc>
      </w:tr>
      <w:tr w:rsidR="00761203" w:rsidRPr="00122611" w:rsidTr="007E1D11">
        <w:trPr>
          <w:gridAfter w:val="1"/>
          <w:wAfter w:w="10" w:type="pct"/>
          <w:tblCellSpacing w:w="0" w:type="dxa"/>
        </w:trPr>
        <w:tc>
          <w:tcPr>
            <w:tcW w:w="674" w:type="pct"/>
            <w:hideMark/>
          </w:tcPr>
          <w:p w:rsidR="00093F15" w:rsidRPr="00122611" w:rsidRDefault="00093F15" w:rsidP="00093F15">
            <w:pPr>
              <w:widowControl/>
              <w:tabs>
                <w:tab w:val="center" w:pos="5400"/>
              </w:tabs>
              <w:suppressAutoHyphens/>
              <w:spacing w:after="240"/>
              <w:rPr>
                <w:bCs/>
                <w:szCs w:val="20"/>
                <w:u w:val="single"/>
              </w:rPr>
            </w:pPr>
          </w:p>
        </w:tc>
        <w:tc>
          <w:tcPr>
            <w:tcW w:w="3946" w:type="pct"/>
            <w:gridSpan w:val="3"/>
            <w:hideMark/>
          </w:tcPr>
          <w:p w:rsidR="00093F15" w:rsidRPr="00122611" w:rsidRDefault="00EC3097" w:rsidP="00794E90">
            <w:pPr>
              <w:widowControl/>
              <w:tabs>
                <w:tab w:val="center" w:pos="5400"/>
              </w:tabs>
              <w:suppressAutoHyphens/>
              <w:spacing w:after="240"/>
              <w:rPr>
                <w:bCs/>
                <w:szCs w:val="20"/>
              </w:rPr>
            </w:pPr>
            <w:r w:rsidRPr="00122611">
              <w:rPr>
                <w:bCs/>
                <w:szCs w:val="20"/>
              </w:rPr>
              <w:t>Consolidated Statements of Comprehensive Income</w:t>
            </w:r>
            <w:r w:rsidR="00166321">
              <w:rPr>
                <w:bCs/>
                <w:szCs w:val="20"/>
              </w:rPr>
              <w:t xml:space="preserve"> </w:t>
            </w:r>
            <w:r w:rsidRPr="00122611">
              <w:rPr>
                <w:bCs/>
                <w:szCs w:val="20"/>
              </w:rPr>
              <w:t>– Three Months</w:t>
            </w:r>
            <w:r w:rsidR="00414104">
              <w:rPr>
                <w:bCs/>
                <w:szCs w:val="20"/>
              </w:rPr>
              <w:t xml:space="preserve"> Ended</w:t>
            </w:r>
          </w:p>
        </w:tc>
        <w:tc>
          <w:tcPr>
            <w:tcW w:w="370" w:type="pct"/>
            <w:gridSpan w:val="2"/>
            <w:hideMark/>
          </w:tcPr>
          <w:p w:rsidR="00093F15" w:rsidRPr="00122611" w:rsidRDefault="00093F15" w:rsidP="00093F15">
            <w:pPr>
              <w:widowControl/>
              <w:tabs>
                <w:tab w:val="center" w:pos="5400"/>
              </w:tabs>
              <w:suppressAutoHyphens/>
              <w:spacing w:after="240"/>
              <w:rPr>
                <w:bCs/>
                <w:szCs w:val="20"/>
                <w:u w:val="single"/>
              </w:rPr>
            </w:pPr>
          </w:p>
        </w:tc>
      </w:tr>
      <w:tr w:rsidR="00761203" w:rsidRPr="00122611" w:rsidTr="007E1D11">
        <w:trPr>
          <w:gridAfter w:val="1"/>
          <w:wAfter w:w="10" w:type="pct"/>
          <w:tblCellSpacing w:w="0" w:type="dxa"/>
        </w:trPr>
        <w:tc>
          <w:tcPr>
            <w:tcW w:w="674" w:type="pct"/>
            <w:hideMark/>
          </w:tcPr>
          <w:p w:rsidR="00093F15" w:rsidRPr="00122611" w:rsidRDefault="00093F15" w:rsidP="00093F15">
            <w:pPr>
              <w:widowControl/>
              <w:tabs>
                <w:tab w:val="center" w:pos="5400"/>
              </w:tabs>
              <w:suppressAutoHyphens/>
              <w:spacing w:after="240"/>
              <w:rPr>
                <w:bCs/>
                <w:szCs w:val="20"/>
                <w:u w:val="single"/>
              </w:rPr>
            </w:pPr>
          </w:p>
        </w:tc>
        <w:tc>
          <w:tcPr>
            <w:tcW w:w="3946" w:type="pct"/>
            <w:gridSpan w:val="3"/>
            <w:hideMark/>
          </w:tcPr>
          <w:p w:rsidR="00093F15" w:rsidRPr="00122611" w:rsidRDefault="00EC3097" w:rsidP="00414104">
            <w:pPr>
              <w:widowControl/>
              <w:tabs>
                <w:tab w:val="center" w:pos="5400"/>
              </w:tabs>
              <w:suppressAutoHyphens/>
              <w:spacing w:after="240"/>
              <w:rPr>
                <w:bCs/>
                <w:szCs w:val="20"/>
              </w:rPr>
            </w:pPr>
            <w:r w:rsidRPr="00122611">
              <w:rPr>
                <w:bCs/>
                <w:szCs w:val="20"/>
              </w:rPr>
              <w:t xml:space="preserve">    </w:t>
            </w:r>
            <w:r w:rsidR="00414104">
              <w:rPr>
                <w:bCs/>
                <w:szCs w:val="20"/>
              </w:rPr>
              <w:t>March 31,</w:t>
            </w:r>
            <w:r w:rsidRPr="00122611">
              <w:rPr>
                <w:bCs/>
                <w:szCs w:val="20"/>
              </w:rPr>
              <w:t xml:space="preserve"> 201</w:t>
            </w:r>
            <w:r w:rsidR="00414104">
              <w:rPr>
                <w:bCs/>
                <w:szCs w:val="20"/>
              </w:rPr>
              <w:t>4</w:t>
            </w:r>
            <w:r w:rsidRPr="00122611">
              <w:rPr>
                <w:bCs/>
                <w:szCs w:val="20"/>
              </w:rPr>
              <w:t xml:space="preserve"> and 201</w:t>
            </w:r>
            <w:r w:rsidR="00414104">
              <w:rPr>
                <w:bCs/>
                <w:szCs w:val="20"/>
              </w:rPr>
              <w:t>3</w:t>
            </w:r>
          </w:p>
        </w:tc>
        <w:tc>
          <w:tcPr>
            <w:tcW w:w="370" w:type="pct"/>
            <w:gridSpan w:val="2"/>
            <w:hideMark/>
          </w:tcPr>
          <w:p w:rsidR="00093F15" w:rsidRPr="00122611" w:rsidRDefault="0022523D" w:rsidP="00DD3E9A">
            <w:pPr>
              <w:widowControl/>
              <w:tabs>
                <w:tab w:val="center" w:pos="5400"/>
              </w:tabs>
              <w:suppressAutoHyphens/>
              <w:spacing w:after="240"/>
              <w:rPr>
                <w:bCs/>
                <w:szCs w:val="20"/>
              </w:rPr>
            </w:pPr>
            <w:r>
              <w:rPr>
                <w:bCs/>
                <w:szCs w:val="20"/>
              </w:rPr>
              <w:t xml:space="preserve">    </w:t>
            </w:r>
            <w:r w:rsidR="00DD3E9A">
              <w:rPr>
                <w:bCs/>
                <w:szCs w:val="20"/>
              </w:rPr>
              <w:t>7</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u w:val="single"/>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122611" w:rsidRDefault="00093F15" w:rsidP="00093F15">
            <w:pPr>
              <w:widowControl/>
              <w:tabs>
                <w:tab w:val="center" w:pos="5400"/>
              </w:tabs>
              <w:suppressAutoHyphens/>
              <w:spacing w:after="240"/>
              <w:rPr>
                <w:bCs/>
                <w:szCs w:val="20"/>
              </w:rPr>
            </w:pPr>
          </w:p>
        </w:tc>
        <w:tc>
          <w:tcPr>
            <w:tcW w:w="373" w:type="pct"/>
            <w:gridSpan w:val="2"/>
            <w:hideMark/>
          </w:tcPr>
          <w:p w:rsidR="00093F15" w:rsidRPr="00122611" w:rsidRDefault="00093F15" w:rsidP="00093F15">
            <w:pPr>
              <w:widowControl/>
              <w:tabs>
                <w:tab w:val="center" w:pos="5400"/>
              </w:tabs>
              <w:suppressAutoHyphens/>
              <w:spacing w:after="240"/>
              <w:rPr>
                <w:bCs/>
                <w:szCs w:val="20"/>
                <w:u w:val="single"/>
              </w:rPr>
            </w:pPr>
          </w:p>
        </w:tc>
      </w:tr>
      <w:tr w:rsidR="00761203" w:rsidRPr="00122611" w:rsidTr="007E1D11">
        <w:trPr>
          <w:gridAfter w:val="1"/>
          <w:wAfter w:w="10" w:type="pct"/>
          <w:tblCellSpacing w:w="0" w:type="dxa"/>
        </w:trPr>
        <w:tc>
          <w:tcPr>
            <w:tcW w:w="674" w:type="pct"/>
            <w:hideMark/>
          </w:tcPr>
          <w:p w:rsidR="00093F15" w:rsidRPr="00122611" w:rsidRDefault="00093F15" w:rsidP="00093F15">
            <w:pPr>
              <w:widowControl/>
              <w:tabs>
                <w:tab w:val="center" w:pos="5400"/>
              </w:tabs>
              <w:suppressAutoHyphens/>
              <w:spacing w:after="240"/>
              <w:rPr>
                <w:bCs/>
                <w:szCs w:val="20"/>
                <w:u w:val="single"/>
              </w:rPr>
            </w:pPr>
          </w:p>
        </w:tc>
        <w:tc>
          <w:tcPr>
            <w:tcW w:w="3946" w:type="pct"/>
            <w:gridSpan w:val="3"/>
            <w:hideMark/>
          </w:tcPr>
          <w:p w:rsidR="00093F15" w:rsidRPr="00122611" w:rsidRDefault="00EC3097" w:rsidP="00CA3FC0">
            <w:pPr>
              <w:widowControl/>
              <w:tabs>
                <w:tab w:val="center" w:pos="5400"/>
              </w:tabs>
              <w:suppressAutoHyphens/>
              <w:spacing w:after="240"/>
              <w:rPr>
                <w:bCs/>
                <w:szCs w:val="20"/>
              </w:rPr>
            </w:pPr>
            <w:r w:rsidRPr="00122611">
              <w:rPr>
                <w:bCs/>
                <w:szCs w:val="20"/>
              </w:rPr>
              <w:t xml:space="preserve">Consolidated Statements of Cash Flows – </w:t>
            </w:r>
            <w:r w:rsidR="007F0295">
              <w:rPr>
                <w:bCs/>
                <w:szCs w:val="20"/>
              </w:rPr>
              <w:t>Three</w:t>
            </w:r>
            <w:r w:rsidRPr="00122611">
              <w:rPr>
                <w:bCs/>
                <w:szCs w:val="20"/>
              </w:rPr>
              <w:t xml:space="preserve"> Months </w:t>
            </w:r>
            <w:r w:rsidR="00CA3FC0">
              <w:rPr>
                <w:bCs/>
                <w:szCs w:val="20"/>
              </w:rPr>
              <w:t>E</w:t>
            </w:r>
            <w:r w:rsidRPr="00122611">
              <w:rPr>
                <w:bCs/>
                <w:szCs w:val="20"/>
              </w:rPr>
              <w:t xml:space="preserve">nded </w:t>
            </w:r>
            <w:r w:rsidR="007F0295">
              <w:rPr>
                <w:bCs/>
                <w:szCs w:val="20"/>
              </w:rPr>
              <w:t>March</w:t>
            </w:r>
            <w:r w:rsidRPr="00122611">
              <w:rPr>
                <w:bCs/>
                <w:szCs w:val="20"/>
              </w:rPr>
              <w:t xml:space="preserve"> 3</w:t>
            </w:r>
            <w:r w:rsidR="007F0295">
              <w:rPr>
                <w:bCs/>
                <w:szCs w:val="20"/>
              </w:rPr>
              <w:t>1</w:t>
            </w:r>
            <w:r w:rsidRPr="00122611">
              <w:rPr>
                <w:bCs/>
                <w:szCs w:val="20"/>
              </w:rPr>
              <w:t>, 201</w:t>
            </w:r>
            <w:r w:rsidR="007F0295">
              <w:rPr>
                <w:bCs/>
                <w:szCs w:val="20"/>
              </w:rPr>
              <w:t>4</w:t>
            </w:r>
            <w:r w:rsidRPr="00122611">
              <w:rPr>
                <w:bCs/>
                <w:szCs w:val="20"/>
              </w:rPr>
              <w:t xml:space="preserve"> and 201</w:t>
            </w:r>
            <w:r w:rsidR="007F0295">
              <w:rPr>
                <w:bCs/>
                <w:szCs w:val="20"/>
              </w:rPr>
              <w:t>3</w:t>
            </w:r>
          </w:p>
        </w:tc>
        <w:tc>
          <w:tcPr>
            <w:tcW w:w="370" w:type="pct"/>
            <w:gridSpan w:val="2"/>
            <w:hideMark/>
          </w:tcPr>
          <w:p w:rsidR="00093F15" w:rsidRPr="00122611" w:rsidRDefault="0022523D" w:rsidP="00DD3E9A">
            <w:pPr>
              <w:widowControl/>
              <w:tabs>
                <w:tab w:val="center" w:pos="5400"/>
              </w:tabs>
              <w:suppressAutoHyphens/>
              <w:spacing w:after="240"/>
              <w:rPr>
                <w:bCs/>
                <w:szCs w:val="20"/>
              </w:rPr>
            </w:pPr>
            <w:r>
              <w:rPr>
                <w:bCs/>
                <w:szCs w:val="20"/>
              </w:rPr>
              <w:t xml:space="preserve">    </w:t>
            </w:r>
            <w:r w:rsidR="00DD3E9A">
              <w:rPr>
                <w:bCs/>
                <w:szCs w:val="20"/>
              </w:rPr>
              <w:t>8</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u w:val="single"/>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122611" w:rsidRDefault="00093F15" w:rsidP="00093F15">
            <w:pPr>
              <w:widowControl/>
              <w:tabs>
                <w:tab w:val="center" w:pos="5400"/>
              </w:tabs>
              <w:suppressAutoHyphens/>
              <w:spacing w:after="240"/>
              <w:rPr>
                <w:bCs/>
                <w:szCs w:val="20"/>
              </w:rPr>
            </w:pPr>
          </w:p>
        </w:tc>
        <w:tc>
          <w:tcPr>
            <w:tcW w:w="373" w:type="pct"/>
            <w:gridSpan w:val="2"/>
            <w:hideMark/>
          </w:tcPr>
          <w:p w:rsidR="00093F15" w:rsidRPr="00122611" w:rsidRDefault="00093F15" w:rsidP="00093F15">
            <w:pPr>
              <w:widowControl/>
              <w:tabs>
                <w:tab w:val="center" w:pos="5400"/>
              </w:tabs>
              <w:suppressAutoHyphens/>
              <w:spacing w:after="240"/>
              <w:rPr>
                <w:bCs/>
                <w:szCs w:val="20"/>
                <w:u w:val="single"/>
              </w:rPr>
            </w:pPr>
          </w:p>
        </w:tc>
      </w:tr>
      <w:tr w:rsidR="00761203" w:rsidRPr="00122611" w:rsidTr="007E1D11">
        <w:trPr>
          <w:gridAfter w:val="1"/>
          <w:wAfter w:w="10" w:type="pct"/>
          <w:tblCellSpacing w:w="0" w:type="dxa"/>
        </w:trPr>
        <w:tc>
          <w:tcPr>
            <w:tcW w:w="674" w:type="pct"/>
            <w:hideMark/>
          </w:tcPr>
          <w:p w:rsidR="00093F15" w:rsidRPr="00122611" w:rsidRDefault="00093F15" w:rsidP="00093F15">
            <w:pPr>
              <w:widowControl/>
              <w:tabs>
                <w:tab w:val="center" w:pos="5400"/>
              </w:tabs>
              <w:suppressAutoHyphens/>
              <w:spacing w:after="240"/>
              <w:rPr>
                <w:bCs/>
                <w:szCs w:val="20"/>
                <w:u w:val="single"/>
              </w:rPr>
            </w:pPr>
          </w:p>
        </w:tc>
        <w:tc>
          <w:tcPr>
            <w:tcW w:w="3946" w:type="pct"/>
            <w:gridSpan w:val="3"/>
            <w:hideMark/>
          </w:tcPr>
          <w:p w:rsidR="00093F15" w:rsidRPr="00122611" w:rsidRDefault="00EC3097" w:rsidP="00093F15">
            <w:pPr>
              <w:widowControl/>
              <w:tabs>
                <w:tab w:val="center" w:pos="5400"/>
              </w:tabs>
              <w:suppressAutoHyphens/>
              <w:spacing w:after="240"/>
              <w:rPr>
                <w:bCs/>
                <w:szCs w:val="20"/>
              </w:rPr>
            </w:pPr>
            <w:r w:rsidRPr="00122611">
              <w:rPr>
                <w:bCs/>
                <w:szCs w:val="20"/>
              </w:rPr>
              <w:t>Notes to Consolidated Financial Statements</w:t>
            </w:r>
          </w:p>
        </w:tc>
        <w:tc>
          <w:tcPr>
            <w:tcW w:w="370" w:type="pct"/>
            <w:gridSpan w:val="2"/>
            <w:hideMark/>
          </w:tcPr>
          <w:p w:rsidR="00093F15" w:rsidRPr="00122611" w:rsidRDefault="0022523D" w:rsidP="00DD3E9A">
            <w:pPr>
              <w:widowControl/>
              <w:tabs>
                <w:tab w:val="center" w:pos="5400"/>
              </w:tabs>
              <w:suppressAutoHyphens/>
              <w:spacing w:after="240"/>
              <w:rPr>
                <w:bCs/>
                <w:szCs w:val="20"/>
              </w:rPr>
            </w:pPr>
            <w:r>
              <w:rPr>
                <w:bCs/>
                <w:szCs w:val="20"/>
              </w:rPr>
              <w:t xml:space="preserve">  </w:t>
            </w:r>
            <w:r w:rsidR="00DD3E9A">
              <w:rPr>
                <w:bCs/>
                <w:szCs w:val="20"/>
              </w:rPr>
              <w:t xml:space="preserve">  9</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122611" w:rsidRDefault="00093F15" w:rsidP="00093F15">
            <w:pPr>
              <w:widowControl/>
              <w:tabs>
                <w:tab w:val="center" w:pos="5400"/>
              </w:tabs>
              <w:suppressAutoHyphens/>
              <w:spacing w:after="240"/>
              <w:rPr>
                <w:bCs/>
                <w:szCs w:val="20"/>
              </w:rPr>
            </w:pPr>
          </w:p>
        </w:tc>
        <w:tc>
          <w:tcPr>
            <w:tcW w:w="373" w:type="pct"/>
            <w:gridSpan w:val="2"/>
            <w:hideMark/>
          </w:tcPr>
          <w:p w:rsidR="00093F15" w:rsidRPr="00122611" w:rsidRDefault="00093F15" w:rsidP="00093F15">
            <w:pPr>
              <w:widowControl/>
              <w:tabs>
                <w:tab w:val="center" w:pos="5400"/>
              </w:tabs>
              <w:suppressAutoHyphens/>
              <w:spacing w:after="240"/>
              <w:rPr>
                <w:bCs/>
                <w:szCs w:val="20"/>
              </w:rPr>
            </w:pPr>
          </w:p>
        </w:tc>
      </w:tr>
      <w:tr w:rsidR="00761203" w:rsidRPr="00122611" w:rsidTr="007E1D11">
        <w:trPr>
          <w:tblCellSpacing w:w="0" w:type="dxa"/>
        </w:trPr>
        <w:tc>
          <w:tcPr>
            <w:tcW w:w="674" w:type="pct"/>
            <w:hideMark/>
          </w:tcPr>
          <w:p w:rsidR="00093F15" w:rsidRPr="00122611" w:rsidRDefault="00A67014" w:rsidP="00093F15">
            <w:pPr>
              <w:widowControl/>
              <w:tabs>
                <w:tab w:val="center" w:pos="5400"/>
              </w:tabs>
              <w:suppressAutoHyphens/>
              <w:spacing w:after="240"/>
              <w:rPr>
                <w:bCs/>
                <w:szCs w:val="20"/>
              </w:rPr>
            </w:pPr>
            <w:r w:rsidRPr="00122611">
              <w:rPr>
                <w:bCs/>
                <w:szCs w:val="20"/>
              </w:rPr>
              <w:t>Item 2.</w:t>
            </w: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A67014" w:rsidP="00093F15">
            <w:pPr>
              <w:widowControl/>
              <w:tabs>
                <w:tab w:val="center" w:pos="5400"/>
              </w:tabs>
              <w:suppressAutoHyphens/>
              <w:spacing w:after="240"/>
              <w:rPr>
                <w:bCs/>
                <w:szCs w:val="20"/>
              </w:rPr>
            </w:pPr>
            <w:r w:rsidRPr="004F6143">
              <w:rPr>
                <w:bCs/>
                <w:szCs w:val="20"/>
              </w:rPr>
              <w:t>Management’s Discussion and Analysis of Financial Condition and Results of Operations</w:t>
            </w:r>
          </w:p>
        </w:tc>
        <w:tc>
          <w:tcPr>
            <w:tcW w:w="373" w:type="pct"/>
            <w:gridSpan w:val="2"/>
            <w:hideMark/>
          </w:tcPr>
          <w:p w:rsidR="00093F15" w:rsidRPr="004F6143" w:rsidRDefault="0022523D" w:rsidP="00FF306E">
            <w:pPr>
              <w:widowControl/>
              <w:tabs>
                <w:tab w:val="center" w:pos="5400"/>
              </w:tabs>
              <w:suppressAutoHyphens/>
              <w:spacing w:after="240"/>
              <w:rPr>
                <w:bCs/>
                <w:szCs w:val="20"/>
              </w:rPr>
            </w:pPr>
            <w:r>
              <w:rPr>
                <w:bCs/>
                <w:szCs w:val="20"/>
              </w:rPr>
              <w:t xml:space="preserve">  </w:t>
            </w:r>
            <w:r w:rsidR="00FF306E">
              <w:rPr>
                <w:bCs/>
                <w:szCs w:val="20"/>
              </w:rPr>
              <w:t>30</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p>
        </w:tc>
        <w:tc>
          <w:tcPr>
            <w:tcW w:w="373" w:type="pct"/>
            <w:gridSpan w:val="2"/>
            <w:hideMark/>
          </w:tcPr>
          <w:p w:rsidR="00093F15" w:rsidRPr="004F6143" w:rsidRDefault="00093F15" w:rsidP="00093F15">
            <w:pPr>
              <w:widowControl/>
              <w:tabs>
                <w:tab w:val="center" w:pos="5400"/>
              </w:tabs>
              <w:suppressAutoHyphens/>
              <w:spacing w:after="240"/>
              <w:rPr>
                <w:bCs/>
                <w:szCs w:val="20"/>
              </w:rPr>
            </w:pP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r w:rsidRPr="00122611">
              <w:rPr>
                <w:bCs/>
                <w:szCs w:val="20"/>
              </w:rPr>
              <w:t xml:space="preserve">Item </w:t>
            </w:r>
            <w:r w:rsidR="00A67014" w:rsidRPr="00122611">
              <w:rPr>
                <w:bCs/>
                <w:szCs w:val="20"/>
              </w:rPr>
              <w:t xml:space="preserve">3. </w:t>
            </w: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r w:rsidRPr="004F6143">
              <w:rPr>
                <w:bCs/>
                <w:szCs w:val="20"/>
              </w:rPr>
              <w:t>Quantitative and Qualitative Disclosures About Market Risk</w:t>
            </w:r>
          </w:p>
        </w:tc>
        <w:tc>
          <w:tcPr>
            <w:tcW w:w="373" w:type="pct"/>
            <w:gridSpan w:val="2"/>
            <w:hideMark/>
          </w:tcPr>
          <w:p w:rsidR="00093F15" w:rsidRPr="004F6143" w:rsidRDefault="0022523D" w:rsidP="00D33E71">
            <w:pPr>
              <w:widowControl/>
              <w:tabs>
                <w:tab w:val="center" w:pos="5400"/>
              </w:tabs>
              <w:suppressAutoHyphens/>
              <w:spacing w:after="240"/>
              <w:rPr>
                <w:bCs/>
                <w:szCs w:val="20"/>
              </w:rPr>
            </w:pPr>
            <w:r>
              <w:rPr>
                <w:bCs/>
                <w:szCs w:val="20"/>
              </w:rPr>
              <w:t xml:space="preserve">  </w:t>
            </w:r>
            <w:r w:rsidR="00532A5B">
              <w:rPr>
                <w:bCs/>
                <w:szCs w:val="20"/>
              </w:rPr>
              <w:t>4</w:t>
            </w:r>
            <w:r w:rsidR="00D33E71">
              <w:rPr>
                <w:bCs/>
                <w:szCs w:val="20"/>
              </w:rPr>
              <w:t>8</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p>
        </w:tc>
        <w:tc>
          <w:tcPr>
            <w:tcW w:w="373" w:type="pct"/>
            <w:gridSpan w:val="2"/>
            <w:hideMark/>
          </w:tcPr>
          <w:p w:rsidR="00093F15" w:rsidRPr="004F6143" w:rsidRDefault="00093F15" w:rsidP="00093F15">
            <w:pPr>
              <w:widowControl/>
              <w:tabs>
                <w:tab w:val="center" w:pos="5400"/>
              </w:tabs>
              <w:suppressAutoHyphens/>
              <w:spacing w:after="240"/>
              <w:rPr>
                <w:bCs/>
                <w:szCs w:val="20"/>
              </w:rPr>
            </w:pPr>
          </w:p>
        </w:tc>
      </w:tr>
      <w:tr w:rsidR="00761203" w:rsidRPr="00122611" w:rsidTr="007E1D11">
        <w:trPr>
          <w:tblCellSpacing w:w="0" w:type="dxa"/>
        </w:trPr>
        <w:tc>
          <w:tcPr>
            <w:tcW w:w="674" w:type="pct"/>
            <w:hideMark/>
          </w:tcPr>
          <w:p w:rsidR="00093F15" w:rsidRPr="00126B8D" w:rsidRDefault="00093F15" w:rsidP="00093F15">
            <w:pPr>
              <w:widowControl/>
              <w:tabs>
                <w:tab w:val="center" w:pos="5400"/>
              </w:tabs>
              <w:suppressAutoHyphens/>
              <w:spacing w:after="240"/>
              <w:rPr>
                <w:bCs/>
                <w:szCs w:val="20"/>
              </w:rPr>
            </w:pPr>
            <w:r w:rsidRPr="00126B8D">
              <w:rPr>
                <w:bCs/>
                <w:szCs w:val="20"/>
              </w:rPr>
              <w:t xml:space="preserve">Item </w:t>
            </w:r>
            <w:r w:rsidR="00A67014" w:rsidRPr="00126B8D">
              <w:rPr>
                <w:bCs/>
                <w:szCs w:val="20"/>
              </w:rPr>
              <w:t>4.</w:t>
            </w:r>
          </w:p>
        </w:tc>
        <w:tc>
          <w:tcPr>
            <w:tcW w:w="10" w:type="pct"/>
            <w:hideMark/>
          </w:tcPr>
          <w:p w:rsidR="00093F15" w:rsidRPr="00126B8D"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551D16" w:rsidP="00093F15">
            <w:pPr>
              <w:widowControl/>
              <w:tabs>
                <w:tab w:val="center" w:pos="5400"/>
              </w:tabs>
              <w:suppressAutoHyphens/>
              <w:spacing w:after="240"/>
              <w:rPr>
                <w:bCs/>
                <w:szCs w:val="20"/>
              </w:rPr>
            </w:pPr>
            <w:r>
              <w:rPr>
                <w:bCs/>
                <w:szCs w:val="20"/>
              </w:rPr>
              <w:t xml:space="preserve">Disclosure </w:t>
            </w:r>
            <w:r w:rsidR="00093F15" w:rsidRPr="004F6143">
              <w:rPr>
                <w:bCs/>
                <w:szCs w:val="20"/>
              </w:rPr>
              <w:t>Controls and Procedures</w:t>
            </w:r>
          </w:p>
        </w:tc>
        <w:tc>
          <w:tcPr>
            <w:tcW w:w="373" w:type="pct"/>
            <w:gridSpan w:val="2"/>
            <w:hideMark/>
          </w:tcPr>
          <w:p w:rsidR="00093F15" w:rsidRPr="004F6143" w:rsidRDefault="0022523D" w:rsidP="00D33E71">
            <w:pPr>
              <w:widowControl/>
              <w:tabs>
                <w:tab w:val="center" w:pos="5400"/>
              </w:tabs>
              <w:suppressAutoHyphens/>
              <w:spacing w:after="240"/>
              <w:rPr>
                <w:bCs/>
                <w:szCs w:val="20"/>
              </w:rPr>
            </w:pPr>
            <w:r>
              <w:rPr>
                <w:bCs/>
                <w:szCs w:val="20"/>
              </w:rPr>
              <w:t xml:space="preserve">  </w:t>
            </w:r>
            <w:r w:rsidR="00582E52">
              <w:rPr>
                <w:bCs/>
                <w:szCs w:val="20"/>
              </w:rPr>
              <w:t>4</w:t>
            </w:r>
            <w:r w:rsidR="00D33E71">
              <w:rPr>
                <w:bCs/>
                <w:szCs w:val="20"/>
              </w:rPr>
              <w:t>8</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p>
        </w:tc>
        <w:tc>
          <w:tcPr>
            <w:tcW w:w="373" w:type="pct"/>
            <w:gridSpan w:val="2"/>
            <w:hideMark/>
          </w:tcPr>
          <w:p w:rsidR="00093F15" w:rsidRPr="004F6143" w:rsidRDefault="00093F15" w:rsidP="00093F15">
            <w:pPr>
              <w:widowControl/>
              <w:tabs>
                <w:tab w:val="center" w:pos="5400"/>
              </w:tabs>
              <w:suppressAutoHyphens/>
              <w:spacing w:after="240"/>
              <w:rPr>
                <w:bCs/>
                <w:szCs w:val="20"/>
              </w:rPr>
            </w:pPr>
          </w:p>
        </w:tc>
      </w:tr>
      <w:tr w:rsidR="00761203" w:rsidRPr="006D3974" w:rsidTr="00EC3097">
        <w:trPr>
          <w:gridAfter w:val="1"/>
          <w:wAfter w:w="10" w:type="pct"/>
          <w:tblCellSpacing w:w="0" w:type="dxa"/>
        </w:trPr>
        <w:tc>
          <w:tcPr>
            <w:tcW w:w="4620" w:type="pct"/>
            <w:gridSpan w:val="4"/>
            <w:hideMark/>
          </w:tcPr>
          <w:p w:rsidR="00093F15" w:rsidRPr="00602C67" w:rsidRDefault="00093F15" w:rsidP="00093F15">
            <w:pPr>
              <w:widowControl/>
              <w:tabs>
                <w:tab w:val="center" w:pos="5400"/>
              </w:tabs>
              <w:suppressAutoHyphens/>
              <w:spacing w:after="240"/>
              <w:rPr>
                <w:b/>
                <w:bCs/>
                <w:szCs w:val="20"/>
              </w:rPr>
            </w:pPr>
            <w:r w:rsidRPr="00602C67">
              <w:rPr>
                <w:b/>
                <w:bCs/>
                <w:szCs w:val="20"/>
              </w:rPr>
              <w:t>PART II. OTHER INFORMATION</w:t>
            </w:r>
          </w:p>
        </w:tc>
        <w:tc>
          <w:tcPr>
            <w:tcW w:w="370" w:type="pct"/>
            <w:gridSpan w:val="2"/>
            <w:hideMark/>
          </w:tcPr>
          <w:p w:rsidR="00093F15" w:rsidRPr="004F6143" w:rsidRDefault="00093F15" w:rsidP="00093F15">
            <w:pPr>
              <w:widowControl/>
              <w:tabs>
                <w:tab w:val="center" w:pos="5400"/>
              </w:tabs>
              <w:suppressAutoHyphens/>
              <w:spacing w:after="240"/>
              <w:rPr>
                <w:bCs/>
                <w:szCs w:val="20"/>
              </w:rPr>
            </w:pP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p>
        </w:tc>
        <w:tc>
          <w:tcPr>
            <w:tcW w:w="373" w:type="pct"/>
            <w:gridSpan w:val="2"/>
            <w:hideMark/>
          </w:tcPr>
          <w:p w:rsidR="00093F15" w:rsidRPr="004F6143" w:rsidRDefault="00093F15" w:rsidP="00093F15">
            <w:pPr>
              <w:widowControl/>
              <w:tabs>
                <w:tab w:val="center" w:pos="5400"/>
              </w:tabs>
              <w:suppressAutoHyphens/>
              <w:spacing w:after="240"/>
              <w:rPr>
                <w:bCs/>
                <w:szCs w:val="20"/>
              </w:rPr>
            </w:pP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r w:rsidRPr="00122611">
              <w:rPr>
                <w:bCs/>
                <w:szCs w:val="20"/>
              </w:rPr>
              <w:t>Item 1.</w:t>
            </w: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r w:rsidRPr="004F6143">
              <w:rPr>
                <w:bCs/>
                <w:szCs w:val="20"/>
              </w:rPr>
              <w:t>Legal Proceedings</w:t>
            </w:r>
          </w:p>
        </w:tc>
        <w:tc>
          <w:tcPr>
            <w:tcW w:w="373" w:type="pct"/>
            <w:gridSpan w:val="2"/>
            <w:hideMark/>
          </w:tcPr>
          <w:p w:rsidR="00093F15" w:rsidRPr="004F6143" w:rsidRDefault="0022523D" w:rsidP="00D33E71">
            <w:pPr>
              <w:widowControl/>
              <w:tabs>
                <w:tab w:val="center" w:pos="5400"/>
              </w:tabs>
              <w:suppressAutoHyphens/>
              <w:spacing w:after="240"/>
              <w:rPr>
                <w:bCs/>
                <w:szCs w:val="20"/>
              </w:rPr>
            </w:pPr>
            <w:r>
              <w:rPr>
                <w:bCs/>
                <w:szCs w:val="20"/>
              </w:rPr>
              <w:t xml:space="preserve">  </w:t>
            </w:r>
            <w:r w:rsidR="00D33E71">
              <w:rPr>
                <w:bCs/>
                <w:szCs w:val="20"/>
              </w:rPr>
              <w:t>49</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r w:rsidRPr="00122611">
              <w:rPr>
                <w:bCs/>
                <w:szCs w:val="20"/>
              </w:rPr>
              <w:t>Item 1A.</w:t>
            </w: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r w:rsidRPr="004F6143">
              <w:rPr>
                <w:bCs/>
                <w:szCs w:val="20"/>
              </w:rPr>
              <w:t>Risk Factors</w:t>
            </w:r>
          </w:p>
        </w:tc>
        <w:tc>
          <w:tcPr>
            <w:tcW w:w="373" w:type="pct"/>
            <w:gridSpan w:val="2"/>
            <w:hideMark/>
          </w:tcPr>
          <w:p w:rsidR="00093F15" w:rsidRPr="004F6143" w:rsidRDefault="0022523D" w:rsidP="00D33E71">
            <w:pPr>
              <w:widowControl/>
              <w:tabs>
                <w:tab w:val="center" w:pos="5400"/>
              </w:tabs>
              <w:suppressAutoHyphens/>
              <w:spacing w:after="240"/>
              <w:rPr>
                <w:bCs/>
                <w:szCs w:val="20"/>
              </w:rPr>
            </w:pPr>
            <w:r>
              <w:rPr>
                <w:bCs/>
                <w:szCs w:val="20"/>
              </w:rPr>
              <w:t xml:space="preserve">  </w:t>
            </w:r>
            <w:r w:rsidR="00D33E71">
              <w:rPr>
                <w:bCs/>
                <w:szCs w:val="20"/>
              </w:rPr>
              <w:t>49</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r w:rsidRPr="00122611">
              <w:rPr>
                <w:bCs/>
                <w:szCs w:val="20"/>
              </w:rPr>
              <w:t>Item 2.</w:t>
            </w: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r w:rsidRPr="004F6143">
              <w:rPr>
                <w:bCs/>
                <w:szCs w:val="20"/>
              </w:rPr>
              <w:t>Unregistered Sales of Equity Securities and Use of Proceeds</w:t>
            </w:r>
          </w:p>
        </w:tc>
        <w:tc>
          <w:tcPr>
            <w:tcW w:w="373" w:type="pct"/>
            <w:gridSpan w:val="2"/>
            <w:hideMark/>
          </w:tcPr>
          <w:p w:rsidR="00093F15" w:rsidRPr="004F6143" w:rsidRDefault="007E1D11" w:rsidP="00D33E71">
            <w:pPr>
              <w:widowControl/>
              <w:tabs>
                <w:tab w:val="center" w:pos="5400"/>
              </w:tabs>
              <w:suppressAutoHyphens/>
              <w:spacing w:after="240"/>
              <w:rPr>
                <w:bCs/>
                <w:szCs w:val="20"/>
              </w:rPr>
            </w:pPr>
            <w:r>
              <w:rPr>
                <w:bCs/>
                <w:szCs w:val="20"/>
              </w:rPr>
              <w:t xml:space="preserve">  </w:t>
            </w:r>
            <w:r w:rsidR="00D33E71">
              <w:rPr>
                <w:bCs/>
                <w:szCs w:val="20"/>
              </w:rPr>
              <w:t>49</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p>
        </w:tc>
        <w:tc>
          <w:tcPr>
            <w:tcW w:w="373" w:type="pct"/>
            <w:gridSpan w:val="2"/>
            <w:hideMark/>
          </w:tcPr>
          <w:p w:rsidR="00093F15" w:rsidRPr="004F6143" w:rsidRDefault="00093F15" w:rsidP="00093F15">
            <w:pPr>
              <w:widowControl/>
              <w:tabs>
                <w:tab w:val="center" w:pos="5400"/>
              </w:tabs>
              <w:suppressAutoHyphens/>
              <w:spacing w:after="240"/>
              <w:rPr>
                <w:bCs/>
                <w:szCs w:val="20"/>
              </w:rPr>
            </w:pP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r w:rsidRPr="00122611">
              <w:rPr>
                <w:bCs/>
                <w:szCs w:val="20"/>
              </w:rPr>
              <w:t>Item 3.</w:t>
            </w: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r w:rsidRPr="004F6143">
              <w:rPr>
                <w:bCs/>
                <w:szCs w:val="20"/>
              </w:rPr>
              <w:t>Defaults Upon Senior Securities</w:t>
            </w:r>
          </w:p>
        </w:tc>
        <w:tc>
          <w:tcPr>
            <w:tcW w:w="373" w:type="pct"/>
            <w:gridSpan w:val="2"/>
            <w:hideMark/>
          </w:tcPr>
          <w:p w:rsidR="00093F15" w:rsidRPr="004F6143" w:rsidRDefault="007E1D11" w:rsidP="00D33E71">
            <w:pPr>
              <w:widowControl/>
              <w:tabs>
                <w:tab w:val="center" w:pos="5400"/>
              </w:tabs>
              <w:suppressAutoHyphens/>
              <w:spacing w:after="240"/>
              <w:rPr>
                <w:bCs/>
                <w:szCs w:val="20"/>
              </w:rPr>
            </w:pPr>
            <w:r>
              <w:rPr>
                <w:bCs/>
                <w:szCs w:val="20"/>
              </w:rPr>
              <w:t xml:space="preserve">  </w:t>
            </w:r>
            <w:r w:rsidR="00D33E71">
              <w:rPr>
                <w:bCs/>
                <w:szCs w:val="20"/>
              </w:rPr>
              <w:t>49</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p>
        </w:tc>
        <w:tc>
          <w:tcPr>
            <w:tcW w:w="373" w:type="pct"/>
            <w:gridSpan w:val="2"/>
            <w:hideMark/>
          </w:tcPr>
          <w:p w:rsidR="00093F15" w:rsidRPr="004F6143" w:rsidRDefault="00093F15" w:rsidP="00093F15">
            <w:pPr>
              <w:widowControl/>
              <w:tabs>
                <w:tab w:val="center" w:pos="5400"/>
              </w:tabs>
              <w:suppressAutoHyphens/>
              <w:spacing w:after="240"/>
              <w:rPr>
                <w:bCs/>
                <w:szCs w:val="20"/>
              </w:rPr>
            </w:pP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r w:rsidRPr="00122611">
              <w:rPr>
                <w:bCs/>
                <w:szCs w:val="20"/>
              </w:rPr>
              <w:t>Item 4.</w:t>
            </w: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r w:rsidRPr="004F6143">
              <w:rPr>
                <w:bCs/>
                <w:szCs w:val="20"/>
              </w:rPr>
              <w:t>Mine Safety Disclosures</w:t>
            </w:r>
          </w:p>
        </w:tc>
        <w:tc>
          <w:tcPr>
            <w:tcW w:w="373" w:type="pct"/>
            <w:gridSpan w:val="2"/>
            <w:hideMark/>
          </w:tcPr>
          <w:p w:rsidR="00093F15" w:rsidRPr="004F6143" w:rsidRDefault="007E1D11" w:rsidP="00D33E71">
            <w:pPr>
              <w:widowControl/>
              <w:tabs>
                <w:tab w:val="center" w:pos="5400"/>
              </w:tabs>
              <w:suppressAutoHyphens/>
              <w:spacing w:after="240"/>
              <w:rPr>
                <w:bCs/>
                <w:szCs w:val="20"/>
              </w:rPr>
            </w:pPr>
            <w:r>
              <w:rPr>
                <w:bCs/>
                <w:szCs w:val="20"/>
              </w:rPr>
              <w:t xml:space="preserve">  </w:t>
            </w:r>
            <w:r w:rsidR="00D33E71">
              <w:rPr>
                <w:bCs/>
                <w:szCs w:val="20"/>
              </w:rPr>
              <w:t>49</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p>
        </w:tc>
        <w:tc>
          <w:tcPr>
            <w:tcW w:w="373" w:type="pct"/>
            <w:gridSpan w:val="2"/>
            <w:hideMark/>
          </w:tcPr>
          <w:p w:rsidR="00093F15" w:rsidRPr="004F6143" w:rsidRDefault="00093F15" w:rsidP="00093F15">
            <w:pPr>
              <w:widowControl/>
              <w:tabs>
                <w:tab w:val="center" w:pos="5400"/>
              </w:tabs>
              <w:suppressAutoHyphens/>
              <w:spacing w:after="240"/>
              <w:rPr>
                <w:bCs/>
                <w:szCs w:val="20"/>
              </w:rPr>
            </w:pP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r w:rsidRPr="00122611">
              <w:rPr>
                <w:bCs/>
                <w:szCs w:val="20"/>
              </w:rPr>
              <w:t>Item 5.</w:t>
            </w: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r w:rsidRPr="004F6143">
              <w:rPr>
                <w:bCs/>
                <w:szCs w:val="20"/>
              </w:rPr>
              <w:t>Other Information</w:t>
            </w:r>
          </w:p>
        </w:tc>
        <w:tc>
          <w:tcPr>
            <w:tcW w:w="373" w:type="pct"/>
            <w:gridSpan w:val="2"/>
            <w:hideMark/>
          </w:tcPr>
          <w:p w:rsidR="00093F15" w:rsidRPr="004F6143" w:rsidRDefault="007E1D11" w:rsidP="00D33E71">
            <w:pPr>
              <w:widowControl/>
              <w:tabs>
                <w:tab w:val="center" w:pos="5400"/>
              </w:tabs>
              <w:suppressAutoHyphens/>
              <w:spacing w:after="240"/>
              <w:rPr>
                <w:bCs/>
                <w:szCs w:val="20"/>
              </w:rPr>
            </w:pPr>
            <w:r>
              <w:rPr>
                <w:bCs/>
                <w:szCs w:val="20"/>
              </w:rPr>
              <w:t xml:space="preserve">  </w:t>
            </w:r>
            <w:r w:rsidR="00D33E71">
              <w:rPr>
                <w:bCs/>
                <w:szCs w:val="20"/>
              </w:rPr>
              <w:t>49</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p>
        </w:tc>
        <w:tc>
          <w:tcPr>
            <w:tcW w:w="373" w:type="pct"/>
            <w:gridSpan w:val="2"/>
            <w:hideMark/>
          </w:tcPr>
          <w:p w:rsidR="00093F15" w:rsidRPr="004F6143" w:rsidRDefault="00093F15" w:rsidP="00093F15">
            <w:pPr>
              <w:widowControl/>
              <w:tabs>
                <w:tab w:val="center" w:pos="5400"/>
              </w:tabs>
              <w:suppressAutoHyphens/>
              <w:spacing w:after="240"/>
              <w:rPr>
                <w:bCs/>
                <w:szCs w:val="20"/>
              </w:rPr>
            </w:pP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r w:rsidRPr="00122611">
              <w:rPr>
                <w:bCs/>
                <w:szCs w:val="20"/>
              </w:rPr>
              <w:t>Item 6.</w:t>
            </w: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r w:rsidRPr="004F6143">
              <w:rPr>
                <w:bCs/>
                <w:szCs w:val="20"/>
              </w:rPr>
              <w:t>Exhibits</w:t>
            </w:r>
          </w:p>
        </w:tc>
        <w:tc>
          <w:tcPr>
            <w:tcW w:w="373" w:type="pct"/>
            <w:gridSpan w:val="2"/>
            <w:hideMark/>
          </w:tcPr>
          <w:p w:rsidR="00093F15" w:rsidRPr="004F6143" w:rsidRDefault="007E1D11" w:rsidP="00D33E71">
            <w:pPr>
              <w:widowControl/>
              <w:tabs>
                <w:tab w:val="center" w:pos="5400"/>
              </w:tabs>
              <w:suppressAutoHyphens/>
              <w:spacing w:after="240"/>
              <w:rPr>
                <w:bCs/>
                <w:szCs w:val="20"/>
              </w:rPr>
            </w:pPr>
            <w:r>
              <w:rPr>
                <w:bCs/>
                <w:szCs w:val="20"/>
              </w:rPr>
              <w:t xml:space="preserve">  </w:t>
            </w:r>
            <w:r w:rsidR="00582E52">
              <w:rPr>
                <w:bCs/>
                <w:szCs w:val="20"/>
              </w:rPr>
              <w:t>5</w:t>
            </w:r>
            <w:r w:rsidR="00D33E71">
              <w:rPr>
                <w:bCs/>
                <w:szCs w:val="20"/>
              </w:rPr>
              <w:t>0</w:t>
            </w:r>
          </w:p>
        </w:tc>
      </w:tr>
      <w:tr w:rsidR="00761203" w:rsidRPr="00122611" w:rsidTr="007E1D11">
        <w:trPr>
          <w:tblCellSpacing w:w="0" w:type="dxa"/>
        </w:trPr>
        <w:tc>
          <w:tcPr>
            <w:tcW w:w="674" w:type="pct"/>
            <w:hideMark/>
          </w:tcPr>
          <w:p w:rsidR="00093F15" w:rsidRPr="00122611" w:rsidRDefault="00093F15" w:rsidP="00093F15">
            <w:pPr>
              <w:widowControl/>
              <w:tabs>
                <w:tab w:val="center" w:pos="5400"/>
              </w:tabs>
              <w:suppressAutoHyphens/>
              <w:spacing w:after="240"/>
              <w:rPr>
                <w:bCs/>
                <w:szCs w:val="20"/>
              </w:rPr>
            </w:pPr>
          </w:p>
        </w:tc>
        <w:tc>
          <w:tcPr>
            <w:tcW w:w="10" w:type="pct"/>
            <w:hideMark/>
          </w:tcPr>
          <w:p w:rsidR="00093F15" w:rsidRPr="00122611" w:rsidRDefault="00093F15" w:rsidP="00093F15">
            <w:pPr>
              <w:widowControl/>
              <w:tabs>
                <w:tab w:val="center" w:pos="5400"/>
              </w:tabs>
              <w:suppressAutoHyphens/>
              <w:spacing w:after="240"/>
              <w:rPr>
                <w:bCs/>
                <w:szCs w:val="20"/>
              </w:rPr>
            </w:pPr>
          </w:p>
        </w:tc>
        <w:tc>
          <w:tcPr>
            <w:tcW w:w="3943" w:type="pct"/>
            <w:gridSpan w:val="3"/>
            <w:hideMark/>
          </w:tcPr>
          <w:p w:rsidR="00093F15" w:rsidRPr="004F6143" w:rsidRDefault="00093F15" w:rsidP="00093F15">
            <w:pPr>
              <w:widowControl/>
              <w:tabs>
                <w:tab w:val="center" w:pos="5400"/>
              </w:tabs>
              <w:suppressAutoHyphens/>
              <w:spacing w:after="240"/>
              <w:rPr>
                <w:bCs/>
                <w:szCs w:val="20"/>
              </w:rPr>
            </w:pPr>
          </w:p>
        </w:tc>
        <w:tc>
          <w:tcPr>
            <w:tcW w:w="373" w:type="pct"/>
            <w:gridSpan w:val="2"/>
            <w:hideMark/>
          </w:tcPr>
          <w:p w:rsidR="00093F15" w:rsidRPr="004F6143" w:rsidRDefault="00093F15" w:rsidP="00093F15">
            <w:pPr>
              <w:widowControl/>
              <w:tabs>
                <w:tab w:val="center" w:pos="5400"/>
              </w:tabs>
              <w:suppressAutoHyphens/>
              <w:spacing w:after="240"/>
              <w:rPr>
                <w:bCs/>
                <w:szCs w:val="20"/>
              </w:rPr>
            </w:pPr>
          </w:p>
        </w:tc>
      </w:tr>
      <w:tr w:rsidR="00761203" w:rsidRPr="006D3974" w:rsidTr="007E1D11">
        <w:trPr>
          <w:gridAfter w:val="1"/>
          <w:wAfter w:w="10" w:type="pct"/>
          <w:tblCellSpacing w:w="0" w:type="dxa"/>
        </w:trPr>
        <w:tc>
          <w:tcPr>
            <w:tcW w:w="674" w:type="pct"/>
            <w:hideMark/>
          </w:tcPr>
          <w:p w:rsidR="00093F15" w:rsidRPr="00602C67" w:rsidRDefault="00093F15" w:rsidP="00093F15">
            <w:pPr>
              <w:widowControl/>
              <w:tabs>
                <w:tab w:val="center" w:pos="5400"/>
              </w:tabs>
              <w:suppressAutoHyphens/>
              <w:spacing w:after="240"/>
              <w:rPr>
                <w:b/>
                <w:bCs/>
                <w:szCs w:val="20"/>
              </w:rPr>
            </w:pPr>
            <w:r w:rsidRPr="00602C67">
              <w:rPr>
                <w:b/>
                <w:bCs/>
                <w:szCs w:val="20"/>
              </w:rPr>
              <w:t>SIGNATURES</w:t>
            </w:r>
          </w:p>
        </w:tc>
        <w:tc>
          <w:tcPr>
            <w:tcW w:w="3946" w:type="pct"/>
            <w:gridSpan w:val="3"/>
            <w:hideMark/>
          </w:tcPr>
          <w:p w:rsidR="00093F15" w:rsidRPr="004F6143" w:rsidRDefault="00093F15" w:rsidP="00093F15">
            <w:pPr>
              <w:widowControl/>
              <w:tabs>
                <w:tab w:val="center" w:pos="5400"/>
              </w:tabs>
              <w:suppressAutoHyphens/>
              <w:spacing w:after="240"/>
              <w:rPr>
                <w:bCs/>
                <w:szCs w:val="20"/>
              </w:rPr>
            </w:pPr>
          </w:p>
        </w:tc>
        <w:tc>
          <w:tcPr>
            <w:tcW w:w="370" w:type="pct"/>
            <w:gridSpan w:val="2"/>
            <w:hideMark/>
          </w:tcPr>
          <w:p w:rsidR="00093F15" w:rsidRPr="004F6143" w:rsidRDefault="0022523D" w:rsidP="00D33E71">
            <w:pPr>
              <w:widowControl/>
              <w:tabs>
                <w:tab w:val="center" w:pos="5400"/>
              </w:tabs>
              <w:suppressAutoHyphens/>
              <w:spacing w:after="240"/>
              <w:rPr>
                <w:bCs/>
                <w:szCs w:val="20"/>
              </w:rPr>
            </w:pPr>
            <w:r>
              <w:rPr>
                <w:bCs/>
                <w:szCs w:val="20"/>
              </w:rPr>
              <w:t xml:space="preserve"> </w:t>
            </w:r>
            <w:r w:rsidR="003B4052">
              <w:rPr>
                <w:bCs/>
                <w:szCs w:val="20"/>
              </w:rPr>
              <w:t xml:space="preserve"> </w:t>
            </w:r>
            <w:r w:rsidR="00582E52">
              <w:rPr>
                <w:bCs/>
                <w:szCs w:val="20"/>
              </w:rPr>
              <w:t>5</w:t>
            </w:r>
            <w:r w:rsidR="00D33E71">
              <w:rPr>
                <w:bCs/>
                <w:szCs w:val="20"/>
              </w:rPr>
              <w:t>1</w:t>
            </w:r>
          </w:p>
        </w:tc>
      </w:tr>
    </w:tbl>
    <w:p w:rsidR="00C31F85" w:rsidRDefault="004A336C" w:rsidP="004A336C">
      <w:pPr>
        <w:widowControl/>
        <w:tabs>
          <w:tab w:val="center" w:pos="5400"/>
        </w:tabs>
        <w:suppressAutoHyphens/>
        <w:spacing w:after="240"/>
        <w:rPr>
          <w:b/>
          <w:bCs/>
          <w:sz w:val="22"/>
        </w:rPr>
      </w:pPr>
      <w:r>
        <w:rPr>
          <w:b/>
          <w:bCs/>
          <w:sz w:val="22"/>
        </w:rPr>
        <w:t xml:space="preserve">                                                           </w:t>
      </w:r>
    </w:p>
    <w:p w:rsidR="00DD3E9A" w:rsidRDefault="00DD3E9A" w:rsidP="004A336C">
      <w:pPr>
        <w:widowControl/>
        <w:tabs>
          <w:tab w:val="center" w:pos="5400"/>
        </w:tabs>
        <w:suppressAutoHyphens/>
        <w:spacing w:after="240"/>
        <w:rPr>
          <w:b/>
          <w:bCs/>
          <w:sz w:val="22"/>
        </w:rPr>
      </w:pPr>
    </w:p>
    <w:p w:rsidR="00582033" w:rsidRPr="00DD3E9A" w:rsidRDefault="00C31F85" w:rsidP="00DD3E9A">
      <w:pPr>
        <w:widowControl/>
        <w:tabs>
          <w:tab w:val="center" w:pos="5400"/>
        </w:tabs>
        <w:suppressAutoHyphens/>
        <w:spacing w:after="240"/>
        <w:rPr>
          <w:b/>
          <w:bCs/>
          <w:sz w:val="22"/>
        </w:rPr>
      </w:pPr>
      <w:r>
        <w:rPr>
          <w:b/>
          <w:bCs/>
          <w:sz w:val="22"/>
        </w:rPr>
        <w:lastRenderedPageBreak/>
        <w:t xml:space="preserve"> </w:t>
      </w:r>
      <w:r w:rsidR="004A336C" w:rsidRPr="00DD3E9A">
        <w:rPr>
          <w:b/>
          <w:bCs/>
          <w:sz w:val="22"/>
        </w:rPr>
        <w:t>Forward-looking statements</w:t>
      </w:r>
    </w:p>
    <w:p w:rsidR="00582033" w:rsidRPr="00D96493" w:rsidRDefault="00582033" w:rsidP="00C31F85">
      <w:pPr>
        <w:widowControl/>
        <w:tabs>
          <w:tab w:val="left" w:pos="-720"/>
        </w:tabs>
        <w:suppressAutoHyphens/>
        <w:spacing w:after="240"/>
        <w:ind w:firstLine="720"/>
        <w:jc w:val="both"/>
        <w:rPr>
          <w:sz w:val="22"/>
        </w:rPr>
      </w:pPr>
      <w:r w:rsidRPr="00D96493">
        <w:rPr>
          <w:sz w:val="22"/>
        </w:rPr>
        <w:t>This report contains forward</w:t>
      </w:r>
      <w:r w:rsidRPr="00D96493">
        <w:rPr>
          <w:sz w:val="22"/>
        </w:rPr>
        <w:noBreakHyphen/>
        <w:t>looking statements within the meaning of the U.S. federal securities laws. Forward</w:t>
      </w:r>
      <w:r w:rsidRPr="00D96493">
        <w:rPr>
          <w:sz w:val="22"/>
        </w:rPr>
        <w:noBreakHyphen/>
        <w:t>looking statements include, without limitation, statements concerning plans, objectives, goals, projections, strategies, future events or performance, and underlying assumptions and other statements, which are not statements of historical facts. Forward looking statements may be identified by the use of words like “expect,” “anticipate,” “intend,” “forecast,” “outlook,” “will,” “may,” “might,” “potential,” “likely,” “target,” “plan,” “contemplate,” “seek,” “attempt,” “should,” “could,” “would” or expressions of similar meaning. Forward</w:t>
      </w:r>
      <w:r w:rsidRPr="00D96493">
        <w:rPr>
          <w:sz w:val="22"/>
        </w:rPr>
        <w:noBreakHyphen/>
        <w:t xml:space="preserve">looking statements reflect management’s good faith evaluation of information currently available and are based on </w:t>
      </w:r>
      <w:r w:rsidR="003C085C" w:rsidRPr="00D96493">
        <w:rPr>
          <w:sz w:val="22"/>
        </w:rPr>
        <w:t>its</w:t>
      </w:r>
      <w:r w:rsidRPr="00D96493">
        <w:rPr>
          <w:sz w:val="22"/>
        </w:rPr>
        <w:t xml:space="preserve"> current expectations and assumptions regarding </w:t>
      </w:r>
      <w:r w:rsidR="003C085C" w:rsidRPr="00D96493">
        <w:rPr>
          <w:sz w:val="22"/>
        </w:rPr>
        <w:t>its</w:t>
      </w:r>
      <w:r w:rsidRPr="00D96493">
        <w:rPr>
          <w:sz w:val="22"/>
        </w:rPr>
        <w:t xml:space="preserve"> business, the economy and other future conditions. Because forward</w:t>
      </w:r>
      <w:r w:rsidRPr="00D96493">
        <w:rPr>
          <w:sz w:val="22"/>
        </w:rPr>
        <w:noBreakHyphen/>
        <w:t>looking statements relate to the future, they are subject to inherent uncertainties, risks and changes in circumstances that are difficult to predict. Specific factors that may impact performance or other predictions of future actions have, in many but not all cases, been identified in connection with specific forward</w:t>
      </w:r>
      <w:r w:rsidRPr="00D96493">
        <w:rPr>
          <w:sz w:val="22"/>
        </w:rPr>
        <w:noBreakHyphen/>
        <w:t xml:space="preserve">looking statements. </w:t>
      </w:r>
      <w:r w:rsidR="000000C0" w:rsidRPr="00D96493">
        <w:rPr>
          <w:sz w:val="22"/>
        </w:rPr>
        <w:t>T</w:t>
      </w:r>
      <w:r w:rsidR="00DE5C83">
        <w:rPr>
          <w:sz w:val="22"/>
        </w:rPr>
        <w:t>RAC Intermodal LLC’s (t</w:t>
      </w:r>
      <w:r w:rsidR="000000C0" w:rsidRPr="00D96493">
        <w:rPr>
          <w:sz w:val="22"/>
        </w:rPr>
        <w:t xml:space="preserve">he </w:t>
      </w:r>
      <w:r w:rsidR="00DE5C83">
        <w:rPr>
          <w:sz w:val="22"/>
        </w:rPr>
        <w:t>“</w:t>
      </w:r>
      <w:r w:rsidR="000000C0" w:rsidRPr="00D96493">
        <w:rPr>
          <w:sz w:val="22"/>
        </w:rPr>
        <w:t>Company</w:t>
      </w:r>
      <w:r w:rsidR="00DE5C83">
        <w:rPr>
          <w:sz w:val="22"/>
        </w:rPr>
        <w:t>,”</w:t>
      </w:r>
      <w:r w:rsidRPr="00D96493">
        <w:rPr>
          <w:sz w:val="22"/>
        </w:rPr>
        <w:t xml:space="preserve"> </w:t>
      </w:r>
      <w:r w:rsidR="00DE5C83">
        <w:rPr>
          <w:sz w:val="22"/>
        </w:rPr>
        <w:t xml:space="preserve">“we” or “TRAC”) </w:t>
      </w:r>
      <w:r w:rsidRPr="00D96493">
        <w:rPr>
          <w:sz w:val="22"/>
        </w:rPr>
        <w:t>actual results may differ materially from those contemplated by the forward</w:t>
      </w:r>
      <w:r w:rsidRPr="00D96493">
        <w:rPr>
          <w:sz w:val="22"/>
        </w:rPr>
        <w:noBreakHyphen/>
        <w:t>looking statements. They are neither statements of historical fact nor guarantees or assurances of future performance. We caution you therefore against relying on any of these forward</w:t>
      </w:r>
      <w:r w:rsidRPr="00D96493">
        <w:rPr>
          <w:sz w:val="22"/>
        </w:rPr>
        <w:noBreakHyphen/>
        <w:t xml:space="preserve">looking statements.  </w:t>
      </w:r>
    </w:p>
    <w:p w:rsidR="00582033" w:rsidRPr="00D96493" w:rsidRDefault="00582033" w:rsidP="00C31F85">
      <w:pPr>
        <w:widowControl/>
        <w:tabs>
          <w:tab w:val="left" w:pos="-720"/>
        </w:tabs>
        <w:suppressAutoHyphens/>
        <w:spacing w:after="240"/>
        <w:ind w:firstLine="720"/>
        <w:jc w:val="both"/>
        <w:rPr>
          <w:sz w:val="22"/>
        </w:rPr>
      </w:pPr>
      <w:r w:rsidRPr="00D96493">
        <w:rPr>
          <w:sz w:val="22"/>
        </w:rPr>
        <w:t>Important factors that could cause actual results to differ materially from those in the forward</w:t>
      </w:r>
      <w:r w:rsidRPr="00D96493">
        <w:rPr>
          <w:sz w:val="22"/>
        </w:rPr>
        <w:noBreakHyphen/>
        <w:t>looking statements include economic, business, competitive, market and regulatory conditions and the following:</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t>the volume of world trade due to economic, political, or other factors;</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t>the demand for chassis;</w:t>
      </w:r>
    </w:p>
    <w:p w:rsidR="00582033" w:rsidRPr="00756545" w:rsidRDefault="00582033" w:rsidP="00DD3E9A">
      <w:pPr>
        <w:pStyle w:val="NoSpacing"/>
        <w:ind w:left="720" w:hanging="720"/>
        <w:rPr>
          <w:rFonts w:ascii="Times New Roman" w:hAnsi="Times New Roman"/>
        </w:rPr>
      </w:pPr>
      <w:r w:rsidRPr="00756545">
        <w:rPr>
          <w:rFonts w:ascii="Times New Roman" w:hAnsi="Times New Roman"/>
        </w:rPr>
        <w:t>•</w:t>
      </w:r>
      <w:r w:rsidRPr="00756545">
        <w:rPr>
          <w:rFonts w:ascii="Times New Roman" w:hAnsi="Times New Roman"/>
        </w:rPr>
        <w:tab/>
        <w:t>operating costs, including the cost of maintaining and repairing chassis, the cost of labor rates and the cost of parts and materials;</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t>increased regulatory costs;</w:t>
      </w:r>
    </w:p>
    <w:p w:rsidR="00582033" w:rsidRPr="00756545" w:rsidRDefault="00582033" w:rsidP="00DD3E9A">
      <w:pPr>
        <w:pStyle w:val="NoSpacing"/>
        <w:ind w:left="720" w:hanging="720"/>
        <w:rPr>
          <w:rFonts w:ascii="Times New Roman" w:hAnsi="Times New Roman"/>
        </w:rPr>
      </w:pPr>
      <w:r w:rsidRPr="00756545">
        <w:rPr>
          <w:rFonts w:ascii="Times New Roman" w:hAnsi="Times New Roman"/>
        </w:rPr>
        <w:t>•</w:t>
      </w:r>
      <w:r w:rsidRPr="00756545">
        <w:rPr>
          <w:rFonts w:ascii="Times New Roman" w:hAnsi="Times New Roman"/>
        </w:rPr>
        <w:tab/>
        <w:t xml:space="preserve">defaults by customers, which would decrease revenues and increase storage, collection, and recovery expenses and require </w:t>
      </w:r>
      <w:r w:rsidR="000000C0" w:rsidRPr="00756545">
        <w:rPr>
          <w:rFonts w:ascii="Times New Roman" w:hAnsi="Times New Roman"/>
        </w:rPr>
        <w:t>payment to</w:t>
      </w:r>
      <w:r w:rsidRPr="00756545">
        <w:rPr>
          <w:rFonts w:ascii="Times New Roman" w:hAnsi="Times New Roman"/>
        </w:rPr>
        <w:t xml:space="preserve"> lenders sooner than anticipated;</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t>the inability of one or more customers to meet their obligations</w:t>
      </w:r>
      <w:r w:rsidR="000B2E98" w:rsidRPr="00756545">
        <w:rPr>
          <w:rFonts w:ascii="Times New Roman" w:hAnsi="Times New Roman"/>
        </w:rPr>
        <w:t xml:space="preserve"> or decreased customer creditworthiness</w:t>
      </w:r>
      <w:r w:rsidRPr="00756545">
        <w:rPr>
          <w:rFonts w:ascii="Times New Roman" w:hAnsi="Times New Roman"/>
        </w:rPr>
        <w:t>;</w:t>
      </w:r>
    </w:p>
    <w:p w:rsidR="00582033" w:rsidRPr="00756545" w:rsidRDefault="00582033" w:rsidP="00DD3E9A">
      <w:pPr>
        <w:pStyle w:val="NoSpacing"/>
        <w:ind w:left="720" w:hanging="720"/>
        <w:rPr>
          <w:rFonts w:ascii="Times New Roman" w:hAnsi="Times New Roman"/>
        </w:rPr>
      </w:pPr>
      <w:r w:rsidRPr="00756545">
        <w:rPr>
          <w:rFonts w:ascii="Times New Roman" w:hAnsi="Times New Roman"/>
        </w:rPr>
        <w:t>•</w:t>
      </w:r>
      <w:r w:rsidRPr="00756545">
        <w:rPr>
          <w:rFonts w:ascii="Times New Roman" w:hAnsi="Times New Roman"/>
        </w:rPr>
        <w:tab/>
      </w:r>
      <w:r w:rsidR="000000C0" w:rsidRPr="00756545">
        <w:rPr>
          <w:rFonts w:ascii="Times New Roman" w:hAnsi="Times New Roman"/>
        </w:rPr>
        <w:t>the</w:t>
      </w:r>
      <w:r w:rsidRPr="00756545">
        <w:rPr>
          <w:rFonts w:ascii="Times New Roman" w:hAnsi="Times New Roman"/>
        </w:rPr>
        <w:t xml:space="preserve"> ability to mitigate any risk associated with efforts to enable shipping line customers to transition to the motor carrier model;</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r>
      <w:r w:rsidR="000000C0" w:rsidRPr="00756545">
        <w:rPr>
          <w:rFonts w:ascii="Times New Roman" w:hAnsi="Times New Roman"/>
        </w:rPr>
        <w:t>the Company’s</w:t>
      </w:r>
      <w:r w:rsidRPr="00756545">
        <w:rPr>
          <w:rFonts w:ascii="Times New Roman" w:hAnsi="Times New Roman"/>
        </w:rPr>
        <w:t xml:space="preserve"> ability to be profitable;</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t xml:space="preserve">expansion of </w:t>
      </w:r>
      <w:r w:rsidR="000000C0" w:rsidRPr="00756545">
        <w:rPr>
          <w:rFonts w:ascii="Times New Roman" w:hAnsi="Times New Roman"/>
        </w:rPr>
        <w:t>the Company’s</w:t>
      </w:r>
      <w:r w:rsidRPr="00756545">
        <w:rPr>
          <w:rFonts w:ascii="Times New Roman" w:hAnsi="Times New Roman"/>
        </w:rPr>
        <w:t xml:space="preserve"> business to provide logistics services and service centers;</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t>the decision by potential and existing customers to buy rather than lease chassis;</w:t>
      </w:r>
    </w:p>
    <w:p w:rsidR="00582033" w:rsidRPr="00756545" w:rsidRDefault="00582033" w:rsidP="00DD3E9A">
      <w:pPr>
        <w:pStyle w:val="NoSpacing"/>
        <w:ind w:left="720" w:hanging="720"/>
        <w:rPr>
          <w:rFonts w:ascii="Times New Roman" w:hAnsi="Times New Roman"/>
        </w:rPr>
      </w:pPr>
      <w:r w:rsidRPr="00756545">
        <w:rPr>
          <w:rFonts w:ascii="Times New Roman" w:hAnsi="Times New Roman"/>
        </w:rPr>
        <w:t>•</w:t>
      </w:r>
      <w:r w:rsidRPr="00756545">
        <w:rPr>
          <w:rFonts w:ascii="Times New Roman" w:hAnsi="Times New Roman"/>
        </w:rPr>
        <w:tab/>
        <w:t xml:space="preserve">the effect of </w:t>
      </w:r>
      <w:r w:rsidR="000000C0" w:rsidRPr="00756545">
        <w:rPr>
          <w:rFonts w:ascii="Times New Roman" w:hAnsi="Times New Roman"/>
        </w:rPr>
        <w:t xml:space="preserve">the Company’s </w:t>
      </w:r>
      <w:r w:rsidRPr="00756545">
        <w:rPr>
          <w:rFonts w:ascii="Times New Roman" w:hAnsi="Times New Roman"/>
        </w:rPr>
        <w:t>customers’ decision to shift to short-term leasing and transition to the motor carrier model on long-term leasing and direct finance leasing products;</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t>the impact of consolidation within the container shipping industry;</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r>
      <w:r w:rsidR="000000C0" w:rsidRPr="00756545">
        <w:rPr>
          <w:rFonts w:ascii="Times New Roman" w:hAnsi="Times New Roman"/>
        </w:rPr>
        <w:t xml:space="preserve">the Company’s </w:t>
      </w:r>
      <w:r w:rsidRPr="00756545">
        <w:rPr>
          <w:rFonts w:ascii="Times New Roman" w:hAnsi="Times New Roman"/>
        </w:rPr>
        <w:t>ability to compete successfully in the chassis leasing industry;</w:t>
      </w:r>
    </w:p>
    <w:p w:rsidR="00DA04CF" w:rsidRPr="00756545" w:rsidRDefault="00582033" w:rsidP="00DD3E9A">
      <w:pPr>
        <w:pStyle w:val="NoSpacing"/>
        <w:ind w:left="720" w:hanging="720"/>
        <w:rPr>
          <w:rFonts w:ascii="Times New Roman" w:hAnsi="Times New Roman"/>
        </w:rPr>
      </w:pPr>
      <w:r w:rsidRPr="00756545">
        <w:rPr>
          <w:rFonts w:ascii="Times New Roman" w:hAnsi="Times New Roman"/>
        </w:rPr>
        <w:t>•</w:t>
      </w:r>
      <w:r w:rsidRPr="00756545">
        <w:rPr>
          <w:rFonts w:ascii="Times New Roman" w:hAnsi="Times New Roman"/>
        </w:rPr>
        <w:tab/>
        <w:t xml:space="preserve">the impact on </w:t>
      </w:r>
      <w:r w:rsidR="000000C0" w:rsidRPr="00756545">
        <w:rPr>
          <w:rFonts w:ascii="Times New Roman" w:hAnsi="Times New Roman"/>
        </w:rPr>
        <w:t xml:space="preserve">the Company’s </w:t>
      </w:r>
      <w:r w:rsidRPr="00756545">
        <w:rPr>
          <w:rFonts w:ascii="Times New Roman" w:hAnsi="Times New Roman"/>
        </w:rPr>
        <w:t>business of losing exclusive rights to operate domestic chassis pools at certain railroad ramps;</w:t>
      </w:r>
    </w:p>
    <w:p w:rsidR="00582033" w:rsidRPr="00756545" w:rsidRDefault="00582033" w:rsidP="00D96493">
      <w:pPr>
        <w:pStyle w:val="NoSpacing"/>
        <w:ind w:left="720" w:hanging="720"/>
        <w:rPr>
          <w:rFonts w:ascii="Times New Roman" w:hAnsi="Times New Roman"/>
        </w:rPr>
      </w:pPr>
      <w:r w:rsidRPr="00756545">
        <w:rPr>
          <w:rFonts w:ascii="Times New Roman" w:hAnsi="Times New Roman"/>
        </w:rPr>
        <w:t>•</w:t>
      </w:r>
      <w:r w:rsidRPr="00756545">
        <w:rPr>
          <w:rFonts w:ascii="Times New Roman" w:hAnsi="Times New Roman"/>
        </w:rPr>
        <w:tab/>
        <w:t>the impact of the credit markets on the worldwide demand for goods and, in turn, on the demand for chassis;</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r>
      <w:r w:rsidR="000000C0" w:rsidRPr="00756545">
        <w:rPr>
          <w:rFonts w:ascii="Times New Roman" w:hAnsi="Times New Roman"/>
        </w:rPr>
        <w:t xml:space="preserve">the Company’s </w:t>
      </w:r>
      <w:r w:rsidR="005211B2" w:rsidRPr="00756545">
        <w:rPr>
          <w:rFonts w:ascii="Times New Roman" w:hAnsi="Times New Roman"/>
        </w:rPr>
        <w:t>substantial amount of</w:t>
      </w:r>
      <w:r w:rsidRPr="00756545">
        <w:rPr>
          <w:rFonts w:ascii="Times New Roman" w:hAnsi="Times New Roman"/>
        </w:rPr>
        <w:t xml:space="preserve"> indebtedness</w:t>
      </w:r>
      <w:r w:rsidR="00752BB3" w:rsidRPr="00756545">
        <w:rPr>
          <w:rFonts w:ascii="Times New Roman" w:hAnsi="Times New Roman"/>
        </w:rPr>
        <w:t>;</w:t>
      </w:r>
    </w:p>
    <w:p w:rsidR="005211B2" w:rsidRPr="00756545" w:rsidRDefault="005211B2"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t>the Company’s ability to incur additional debt;</w:t>
      </w:r>
    </w:p>
    <w:p w:rsidR="005211B2" w:rsidRPr="00756545" w:rsidRDefault="005211B2"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t>the limitation on flexibility in operating the business arising from restrictions from debt agreements;</w:t>
      </w:r>
    </w:p>
    <w:p w:rsidR="00582033" w:rsidRPr="00756545" w:rsidRDefault="000000C0"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t xml:space="preserve">the Company’s </w:t>
      </w:r>
      <w:r w:rsidR="00582033" w:rsidRPr="00756545">
        <w:rPr>
          <w:rFonts w:ascii="Times New Roman" w:hAnsi="Times New Roman"/>
        </w:rPr>
        <w:t xml:space="preserve">ability to service </w:t>
      </w:r>
      <w:r w:rsidR="003C085C" w:rsidRPr="00756545">
        <w:rPr>
          <w:rFonts w:ascii="Times New Roman" w:hAnsi="Times New Roman"/>
        </w:rPr>
        <w:t>its</w:t>
      </w:r>
      <w:r w:rsidR="00582033" w:rsidRPr="00756545">
        <w:rPr>
          <w:rFonts w:ascii="Times New Roman" w:hAnsi="Times New Roman"/>
        </w:rPr>
        <w:t xml:space="preserve"> debt or to obtain additional financing;</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r>
      <w:r w:rsidR="000000C0" w:rsidRPr="00756545">
        <w:rPr>
          <w:rFonts w:ascii="Times New Roman" w:hAnsi="Times New Roman"/>
        </w:rPr>
        <w:t xml:space="preserve">the Company’s </w:t>
      </w:r>
      <w:r w:rsidRPr="00756545">
        <w:rPr>
          <w:rFonts w:ascii="Times New Roman" w:hAnsi="Times New Roman"/>
        </w:rPr>
        <w:t>ability to re-lease chassis after their initial long-term lease;</w:t>
      </w:r>
    </w:p>
    <w:p w:rsidR="00582033" w:rsidRPr="00756545" w:rsidRDefault="00582033" w:rsidP="00F025CB">
      <w:pPr>
        <w:pStyle w:val="NoSpacing"/>
        <w:rPr>
          <w:rFonts w:ascii="Times New Roman" w:hAnsi="Times New Roman"/>
        </w:rPr>
      </w:pPr>
      <w:r w:rsidRPr="00756545">
        <w:rPr>
          <w:rFonts w:ascii="Times New Roman" w:hAnsi="Times New Roman"/>
        </w:rPr>
        <w:t>•</w:t>
      </w:r>
      <w:r w:rsidRPr="00756545">
        <w:rPr>
          <w:rFonts w:ascii="Times New Roman" w:hAnsi="Times New Roman"/>
        </w:rPr>
        <w:tab/>
        <w:t>the impact of liens on equipment;</w:t>
      </w:r>
    </w:p>
    <w:p w:rsidR="00582033" w:rsidRPr="00756545" w:rsidRDefault="00582033" w:rsidP="00D96493">
      <w:pPr>
        <w:pStyle w:val="NoSpacing"/>
        <w:ind w:left="720" w:hanging="720"/>
        <w:rPr>
          <w:rFonts w:ascii="Times New Roman" w:hAnsi="Times New Roman"/>
        </w:rPr>
      </w:pPr>
      <w:r w:rsidRPr="00756545">
        <w:rPr>
          <w:rFonts w:ascii="Times New Roman" w:hAnsi="Times New Roman"/>
        </w:rPr>
        <w:t>•</w:t>
      </w:r>
      <w:r w:rsidRPr="00756545">
        <w:rPr>
          <w:rFonts w:ascii="Times New Roman" w:hAnsi="Times New Roman"/>
        </w:rPr>
        <w:tab/>
        <w:t>changes in market price, availability, or transportation costs of equipment manufactured in China or Mexico;</w:t>
      </w:r>
    </w:p>
    <w:p w:rsidR="00582033" w:rsidRPr="00756545" w:rsidRDefault="00582033" w:rsidP="00DD3E9A">
      <w:pPr>
        <w:pStyle w:val="NoSpacing"/>
        <w:ind w:left="720" w:hanging="720"/>
        <w:rPr>
          <w:rFonts w:ascii="Times New Roman" w:hAnsi="Times New Roman"/>
        </w:rPr>
      </w:pPr>
      <w:r w:rsidRPr="00756545">
        <w:rPr>
          <w:rFonts w:ascii="Times New Roman" w:hAnsi="Times New Roman"/>
        </w:rPr>
        <w:t>•</w:t>
      </w:r>
      <w:r w:rsidRPr="00756545">
        <w:rPr>
          <w:rFonts w:ascii="Times New Roman" w:hAnsi="Times New Roman"/>
        </w:rPr>
        <w:tab/>
      </w:r>
      <w:r w:rsidR="000000C0" w:rsidRPr="00756545">
        <w:rPr>
          <w:rFonts w:ascii="Times New Roman" w:hAnsi="Times New Roman"/>
        </w:rPr>
        <w:t xml:space="preserve">the Company’s </w:t>
      </w:r>
      <w:r w:rsidRPr="00756545">
        <w:rPr>
          <w:rFonts w:ascii="Times New Roman" w:hAnsi="Times New Roman"/>
        </w:rPr>
        <w:t>ability to integrate acquisitions and to realize the anticipated benefits of any such potential future acquisitions;</w:t>
      </w:r>
    </w:p>
    <w:p w:rsidR="00D96493" w:rsidRDefault="00D96493" w:rsidP="00DD3E9A">
      <w:pPr>
        <w:pStyle w:val="NoSpacing"/>
        <w:ind w:left="720" w:hanging="720"/>
        <w:rPr>
          <w:rFonts w:ascii="Times New Roman" w:hAnsi="Times New Roman"/>
          <w:highlight w:val="yellow"/>
        </w:rPr>
      </w:pPr>
    </w:p>
    <w:p w:rsidR="00D96493" w:rsidRPr="00FB1F49" w:rsidRDefault="00D96493" w:rsidP="00D96493">
      <w:pPr>
        <w:pStyle w:val="NoSpacing"/>
        <w:rPr>
          <w:rFonts w:ascii="Times New Roman" w:hAnsi="Times New Roman"/>
          <w:b/>
          <w:bCs/>
        </w:rPr>
      </w:pPr>
      <w:r w:rsidRPr="00FB1F49">
        <w:rPr>
          <w:rFonts w:ascii="Times New Roman" w:hAnsi="Times New Roman"/>
          <w:b/>
          <w:bCs/>
        </w:rPr>
        <w:t>Forward</w:t>
      </w:r>
      <w:r w:rsidRPr="00FB1F49">
        <w:rPr>
          <w:rFonts w:ascii="Times New Roman" w:hAnsi="Times New Roman"/>
          <w:b/>
          <w:bCs/>
        </w:rPr>
        <w:noBreakHyphen/>
        <w:t>looking statements (continued)</w:t>
      </w:r>
    </w:p>
    <w:p w:rsidR="00D96493" w:rsidRPr="00FB1F49" w:rsidRDefault="00D96493" w:rsidP="00DD3E9A">
      <w:pPr>
        <w:pStyle w:val="NoSpacing"/>
        <w:ind w:left="720" w:hanging="720"/>
        <w:rPr>
          <w:rFonts w:ascii="Times New Roman" w:hAnsi="Times New Roman"/>
        </w:rPr>
      </w:pP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a decrease in the availability of storage space for chassis and a resulting increase in depot costs;</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r>
      <w:r w:rsidR="000000C0" w:rsidRPr="00FB1F49">
        <w:rPr>
          <w:rFonts w:ascii="Times New Roman" w:hAnsi="Times New Roman"/>
        </w:rPr>
        <w:t xml:space="preserve">the Company’s </w:t>
      </w:r>
      <w:r w:rsidRPr="00FB1F49">
        <w:rPr>
          <w:rFonts w:ascii="Times New Roman" w:hAnsi="Times New Roman"/>
        </w:rPr>
        <w:t>ability to maintain qualified personnel;</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strikes or work stoppages by draymen, truckers, longshoremen, and railroad workers;</w:t>
      </w:r>
    </w:p>
    <w:p w:rsidR="00582033" w:rsidRPr="00FB1F49" w:rsidRDefault="00582033" w:rsidP="00DD3E9A">
      <w:pPr>
        <w:pStyle w:val="NoSpacing"/>
        <w:ind w:left="720" w:hanging="720"/>
        <w:rPr>
          <w:rFonts w:ascii="Times New Roman" w:hAnsi="Times New Roman"/>
        </w:rPr>
      </w:pPr>
      <w:r w:rsidRPr="00FB1F49">
        <w:rPr>
          <w:rFonts w:ascii="Times New Roman" w:hAnsi="Times New Roman"/>
        </w:rPr>
        <w:t>•</w:t>
      </w:r>
      <w:r w:rsidRPr="00FB1F49">
        <w:rPr>
          <w:rFonts w:ascii="Times New Roman" w:hAnsi="Times New Roman"/>
        </w:rPr>
        <w:tab/>
      </w:r>
      <w:r w:rsidR="000000C0" w:rsidRPr="00FB1F49">
        <w:rPr>
          <w:rFonts w:ascii="Times New Roman" w:hAnsi="Times New Roman"/>
        </w:rPr>
        <w:t xml:space="preserve">the Company’s </w:t>
      </w:r>
      <w:r w:rsidRPr="00FB1F49">
        <w:rPr>
          <w:rFonts w:ascii="Times New Roman" w:hAnsi="Times New Roman"/>
        </w:rPr>
        <w:t xml:space="preserve">ability to maintain </w:t>
      </w:r>
      <w:r w:rsidR="003C085C" w:rsidRPr="00FB1F49">
        <w:rPr>
          <w:rFonts w:ascii="Times New Roman" w:hAnsi="Times New Roman"/>
        </w:rPr>
        <w:t>its</w:t>
      </w:r>
      <w:r w:rsidRPr="00FB1F49">
        <w:rPr>
          <w:rFonts w:ascii="Times New Roman" w:hAnsi="Times New Roman"/>
        </w:rPr>
        <w:t xml:space="preserve"> relationship with employees, and thereby avoid unionization efforts, labor shortages, disruptions or stoppages;</w:t>
      </w:r>
    </w:p>
    <w:p w:rsidR="00DD3E9A" w:rsidRPr="00FB1F49" w:rsidRDefault="00582033" w:rsidP="00D96493">
      <w:pPr>
        <w:pStyle w:val="NoSpacing"/>
        <w:ind w:left="720" w:hanging="720"/>
        <w:rPr>
          <w:rFonts w:ascii="Times New Roman" w:hAnsi="Times New Roman"/>
        </w:rPr>
      </w:pPr>
      <w:r w:rsidRPr="00FB1F49">
        <w:rPr>
          <w:rFonts w:ascii="Times New Roman" w:hAnsi="Times New Roman"/>
        </w:rPr>
        <w:t>•</w:t>
      </w:r>
      <w:r w:rsidRPr="00FB1F49">
        <w:rPr>
          <w:rFonts w:ascii="Times New Roman" w:hAnsi="Times New Roman"/>
        </w:rPr>
        <w:tab/>
      </w:r>
      <w:r w:rsidR="000000C0" w:rsidRPr="00FB1F49">
        <w:rPr>
          <w:rFonts w:ascii="Times New Roman" w:hAnsi="Times New Roman"/>
        </w:rPr>
        <w:t xml:space="preserve">the Company’s </w:t>
      </w:r>
      <w:r w:rsidRPr="00FB1F49">
        <w:rPr>
          <w:rFonts w:ascii="Times New Roman" w:hAnsi="Times New Roman"/>
        </w:rPr>
        <w:t xml:space="preserve">ability or the ability of </w:t>
      </w:r>
      <w:r w:rsidR="000000C0" w:rsidRPr="00FB1F49">
        <w:rPr>
          <w:rFonts w:ascii="Times New Roman" w:hAnsi="Times New Roman"/>
        </w:rPr>
        <w:t xml:space="preserve">the Company’s </w:t>
      </w:r>
      <w:r w:rsidRPr="00FB1F49">
        <w:rPr>
          <w:rFonts w:ascii="Times New Roman" w:hAnsi="Times New Roman"/>
        </w:rPr>
        <w:t>lessees to maintain sufficient insurance to cover losses that may occur to chassis;</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 xml:space="preserve">the extent of any payments under </w:t>
      </w:r>
      <w:r w:rsidR="000000C0" w:rsidRPr="00FB1F49">
        <w:rPr>
          <w:rFonts w:ascii="Times New Roman" w:hAnsi="Times New Roman"/>
        </w:rPr>
        <w:t xml:space="preserve">the Company’s </w:t>
      </w:r>
      <w:r w:rsidRPr="00FB1F49">
        <w:rPr>
          <w:rFonts w:ascii="Times New Roman" w:hAnsi="Times New Roman"/>
        </w:rPr>
        <w:t>indemnification agreements;</w:t>
      </w:r>
    </w:p>
    <w:p w:rsidR="00582033" w:rsidRPr="00FB1F49" w:rsidRDefault="00582033" w:rsidP="00DD3E9A">
      <w:pPr>
        <w:pStyle w:val="NoSpacing"/>
        <w:ind w:left="720" w:hanging="720"/>
        <w:rPr>
          <w:rFonts w:ascii="Times New Roman" w:hAnsi="Times New Roman"/>
        </w:rPr>
      </w:pPr>
      <w:r w:rsidRPr="00FB1F49">
        <w:rPr>
          <w:rFonts w:ascii="Times New Roman" w:hAnsi="Times New Roman"/>
        </w:rPr>
        <w:t>•</w:t>
      </w:r>
      <w:r w:rsidRPr="00FB1F49">
        <w:rPr>
          <w:rFonts w:ascii="Times New Roman" w:hAnsi="Times New Roman"/>
        </w:rPr>
        <w:tab/>
        <w:t xml:space="preserve">the impact of accidents or incidents or mismanagement of </w:t>
      </w:r>
      <w:r w:rsidR="003C085C" w:rsidRPr="00FB1F49">
        <w:rPr>
          <w:rFonts w:ascii="Times New Roman" w:hAnsi="Times New Roman"/>
        </w:rPr>
        <w:t>its</w:t>
      </w:r>
      <w:r w:rsidRPr="00FB1F49">
        <w:rPr>
          <w:rFonts w:ascii="Times New Roman" w:hAnsi="Times New Roman"/>
        </w:rPr>
        <w:t xml:space="preserve"> fleet on </w:t>
      </w:r>
      <w:r w:rsidR="000000C0" w:rsidRPr="00FB1F49">
        <w:rPr>
          <w:rFonts w:ascii="Times New Roman" w:hAnsi="Times New Roman"/>
        </w:rPr>
        <w:t xml:space="preserve">the Company’s </w:t>
      </w:r>
      <w:r w:rsidRPr="00FB1F49">
        <w:rPr>
          <w:rFonts w:ascii="Times New Roman" w:hAnsi="Times New Roman"/>
        </w:rPr>
        <w:t>reputation and financial results;</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the impact of recalls and other investigations;</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the impact of federal roadability rules and regulations for intermodal equipment providers (“IEP”);</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the impact of environmental liability;</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 xml:space="preserve">the failure or operational interruption of information technology systems required to conduct </w:t>
      </w:r>
      <w:r w:rsidR="003C085C" w:rsidRPr="00FB1F49">
        <w:rPr>
          <w:rFonts w:ascii="Times New Roman" w:hAnsi="Times New Roman"/>
        </w:rPr>
        <w:t>its</w:t>
      </w:r>
      <w:r w:rsidRPr="00FB1F49">
        <w:rPr>
          <w:rFonts w:ascii="Times New Roman" w:hAnsi="Times New Roman"/>
        </w:rPr>
        <w:t xml:space="preserve"> business;</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 xml:space="preserve">the failure to adequately protect </w:t>
      </w:r>
      <w:r w:rsidR="000000C0" w:rsidRPr="00FB1F49">
        <w:rPr>
          <w:rFonts w:ascii="Times New Roman" w:hAnsi="Times New Roman"/>
        </w:rPr>
        <w:t xml:space="preserve">the Company’s </w:t>
      </w:r>
      <w:r w:rsidRPr="00FB1F49">
        <w:rPr>
          <w:rFonts w:ascii="Times New Roman" w:hAnsi="Times New Roman"/>
        </w:rPr>
        <w:t>intellectual property rights;</w:t>
      </w:r>
    </w:p>
    <w:p w:rsidR="00582033" w:rsidRPr="00FB1F49" w:rsidRDefault="00582033" w:rsidP="00DD3E9A">
      <w:pPr>
        <w:pStyle w:val="NoSpacing"/>
        <w:ind w:left="720" w:hanging="720"/>
        <w:rPr>
          <w:rFonts w:ascii="Times New Roman" w:hAnsi="Times New Roman"/>
        </w:rPr>
      </w:pPr>
      <w:r w:rsidRPr="00FB1F49">
        <w:rPr>
          <w:rFonts w:ascii="Times New Roman" w:hAnsi="Times New Roman"/>
        </w:rPr>
        <w:t>•</w:t>
      </w:r>
      <w:r w:rsidRPr="00FB1F49">
        <w:rPr>
          <w:rFonts w:ascii="Times New Roman" w:hAnsi="Times New Roman"/>
        </w:rPr>
        <w:tab/>
        <w:t xml:space="preserve">the willingness and ability of manufacturers or remanufacturers of </w:t>
      </w:r>
      <w:r w:rsidR="000000C0" w:rsidRPr="00FB1F49">
        <w:rPr>
          <w:rFonts w:ascii="Times New Roman" w:hAnsi="Times New Roman"/>
        </w:rPr>
        <w:t xml:space="preserve">the Company’s </w:t>
      </w:r>
      <w:r w:rsidRPr="00FB1F49">
        <w:rPr>
          <w:rFonts w:ascii="Times New Roman" w:hAnsi="Times New Roman"/>
        </w:rPr>
        <w:t>equipment to honor warranties covering defects;</w:t>
      </w:r>
    </w:p>
    <w:p w:rsidR="00582033" w:rsidRPr="00FB1F49" w:rsidRDefault="00582033" w:rsidP="00DD3E9A">
      <w:pPr>
        <w:pStyle w:val="NoSpacing"/>
        <w:ind w:left="720" w:hanging="720"/>
        <w:rPr>
          <w:rFonts w:ascii="Times New Roman" w:hAnsi="Times New Roman"/>
        </w:rPr>
      </w:pPr>
      <w:r w:rsidRPr="00FB1F49">
        <w:rPr>
          <w:rFonts w:ascii="Times New Roman" w:hAnsi="Times New Roman"/>
        </w:rPr>
        <w:t>•</w:t>
      </w:r>
      <w:r w:rsidRPr="00FB1F49">
        <w:rPr>
          <w:rFonts w:ascii="Times New Roman" w:hAnsi="Times New Roman"/>
        </w:rPr>
        <w:tab/>
        <w:t>the impact of inherent, potential, or perceived conflicts of interest created by relationships and transactions with members of management, shareholders, and their respective affiliates;</w:t>
      </w:r>
    </w:p>
    <w:p w:rsidR="00582033" w:rsidRPr="00FB1F49" w:rsidRDefault="00582033" w:rsidP="00DD3E9A">
      <w:pPr>
        <w:pStyle w:val="NoSpacing"/>
        <w:ind w:left="720" w:hanging="720"/>
        <w:rPr>
          <w:rFonts w:ascii="Times New Roman" w:hAnsi="Times New Roman"/>
        </w:rPr>
      </w:pPr>
      <w:r w:rsidRPr="00FB1F49">
        <w:rPr>
          <w:rFonts w:ascii="Times New Roman" w:hAnsi="Times New Roman"/>
        </w:rPr>
        <w:t>•</w:t>
      </w:r>
      <w:r w:rsidRPr="00FB1F49">
        <w:rPr>
          <w:rFonts w:ascii="Times New Roman" w:hAnsi="Times New Roman"/>
        </w:rPr>
        <w:tab/>
        <w:t>risks inherent in international operations, including uncertainty about the jurisdictions in which enforcement might be sought and the political, environmental, and economic stability of particular countries or regions;</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 xml:space="preserve">the impact on </w:t>
      </w:r>
      <w:r w:rsidR="000000C0" w:rsidRPr="00FB1F49">
        <w:rPr>
          <w:rFonts w:ascii="Times New Roman" w:hAnsi="Times New Roman"/>
        </w:rPr>
        <w:t xml:space="preserve">the Company’s </w:t>
      </w:r>
      <w:r w:rsidRPr="00FB1F49">
        <w:rPr>
          <w:rFonts w:ascii="Times New Roman" w:hAnsi="Times New Roman"/>
        </w:rPr>
        <w:t>earnings of increases in prevailing interest rates;</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 xml:space="preserve">counterparty risk arising in </w:t>
      </w:r>
      <w:r w:rsidR="000000C0" w:rsidRPr="00FB1F49">
        <w:rPr>
          <w:rFonts w:ascii="Times New Roman" w:hAnsi="Times New Roman"/>
        </w:rPr>
        <w:t xml:space="preserve">the Company’s </w:t>
      </w:r>
      <w:r w:rsidRPr="00FB1F49">
        <w:rPr>
          <w:rFonts w:ascii="Times New Roman" w:hAnsi="Times New Roman"/>
        </w:rPr>
        <w:t>hedging strategies;</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the impact of a new standard for lease accounting;</w:t>
      </w:r>
    </w:p>
    <w:p w:rsidR="00321BB9" w:rsidRPr="00FB1F49" w:rsidRDefault="00321BB9" w:rsidP="00321BB9">
      <w:pPr>
        <w:pStyle w:val="NoSpacing"/>
        <w:rPr>
          <w:rFonts w:ascii="Times New Roman" w:hAnsi="Times New Roman"/>
        </w:rPr>
      </w:pPr>
      <w:r w:rsidRPr="00FB1F49">
        <w:rPr>
          <w:rFonts w:ascii="Times New Roman" w:hAnsi="Times New Roman"/>
        </w:rPr>
        <w:t>•</w:t>
      </w:r>
      <w:r w:rsidRPr="00FB1F49">
        <w:rPr>
          <w:rFonts w:ascii="Times New Roman" w:hAnsi="Times New Roman"/>
        </w:rPr>
        <w:tab/>
        <w:t>adverse changes in U.S. tax rules;</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terrorist attacks, wars, uprisings, or hostilities;</w:t>
      </w:r>
    </w:p>
    <w:p w:rsidR="00582033" w:rsidRPr="00FB1F49" w:rsidRDefault="00582033" w:rsidP="00F025CB">
      <w:pPr>
        <w:pStyle w:val="NoSpacing"/>
        <w:rPr>
          <w:rFonts w:ascii="Times New Roman" w:hAnsi="Times New Roman"/>
        </w:rPr>
      </w:pPr>
      <w:r w:rsidRPr="00FB1F49">
        <w:rPr>
          <w:rFonts w:ascii="Times New Roman" w:hAnsi="Times New Roman"/>
        </w:rPr>
        <w:t>•</w:t>
      </w:r>
      <w:r w:rsidRPr="00FB1F49">
        <w:rPr>
          <w:rFonts w:ascii="Times New Roman" w:hAnsi="Times New Roman"/>
        </w:rPr>
        <w:tab/>
        <w:t>other risks described in the “Risk factors” section of this report.</w:t>
      </w:r>
    </w:p>
    <w:p w:rsidR="00DD3E9A" w:rsidRPr="00FB1F49" w:rsidRDefault="00DD3E9A" w:rsidP="00F025CB">
      <w:pPr>
        <w:pStyle w:val="NoSpacing"/>
        <w:rPr>
          <w:rFonts w:ascii="Times New Roman" w:hAnsi="Times New Roman"/>
        </w:rPr>
      </w:pPr>
    </w:p>
    <w:p w:rsidR="00582033" w:rsidRPr="00FB1F49" w:rsidRDefault="00582033" w:rsidP="00C31F85">
      <w:pPr>
        <w:widowControl/>
        <w:tabs>
          <w:tab w:val="left" w:pos="-720"/>
        </w:tabs>
        <w:suppressAutoHyphens/>
        <w:spacing w:after="240"/>
        <w:ind w:firstLine="720"/>
        <w:jc w:val="both"/>
        <w:rPr>
          <w:sz w:val="22"/>
        </w:rPr>
      </w:pPr>
      <w:r w:rsidRPr="00FB1F49">
        <w:rPr>
          <w:sz w:val="22"/>
        </w:rPr>
        <w:t xml:space="preserve">Please also refer to Item 1A. Risk Factors to Part II of this report. All of the above factors are difficult to predict, contain uncertainties that may materially affect actual results and may be beyond </w:t>
      </w:r>
      <w:r w:rsidR="000000C0" w:rsidRPr="00FB1F49">
        <w:rPr>
          <w:sz w:val="22"/>
        </w:rPr>
        <w:t xml:space="preserve">the Company’s </w:t>
      </w:r>
      <w:r w:rsidRPr="00FB1F49">
        <w:rPr>
          <w:sz w:val="22"/>
        </w:rPr>
        <w:t xml:space="preserve">control. New factors emerge from time to time and it is not possible for management to predict all such factors or to assess the effect of each such new factor on </w:t>
      </w:r>
      <w:r w:rsidR="003C085C" w:rsidRPr="00FB1F49">
        <w:rPr>
          <w:sz w:val="22"/>
        </w:rPr>
        <w:t>its</w:t>
      </w:r>
      <w:r w:rsidRPr="00FB1F49">
        <w:rPr>
          <w:sz w:val="22"/>
        </w:rPr>
        <w:t xml:space="preserve"> business. Except to fulfill </w:t>
      </w:r>
      <w:r w:rsidR="000000C0" w:rsidRPr="00FB1F49">
        <w:rPr>
          <w:sz w:val="22"/>
        </w:rPr>
        <w:t xml:space="preserve">the Company’s </w:t>
      </w:r>
      <w:r w:rsidRPr="00FB1F49">
        <w:rPr>
          <w:sz w:val="22"/>
        </w:rPr>
        <w:t>obligations under the U.S. securities laws, we undertake no obligation to update any such statement to reflect events or circumstances after the date on which it is made.</w:t>
      </w:r>
    </w:p>
    <w:p w:rsidR="00582033" w:rsidRPr="00FB1F49" w:rsidRDefault="00582033" w:rsidP="00C31F85">
      <w:pPr>
        <w:widowControl/>
        <w:tabs>
          <w:tab w:val="left" w:pos="-720"/>
        </w:tabs>
        <w:suppressAutoHyphens/>
        <w:spacing w:after="240"/>
        <w:ind w:firstLine="720"/>
        <w:jc w:val="both"/>
      </w:pPr>
      <w:r w:rsidRPr="00FB1F49">
        <w:rPr>
          <w:sz w:val="22"/>
        </w:rPr>
        <w:t xml:space="preserve">Although </w:t>
      </w:r>
      <w:r w:rsidR="00E25893" w:rsidRPr="00FB1F49">
        <w:rPr>
          <w:sz w:val="22"/>
        </w:rPr>
        <w:t>the Company</w:t>
      </w:r>
      <w:r w:rsidR="000000C0" w:rsidRPr="00FB1F49">
        <w:rPr>
          <w:sz w:val="22"/>
        </w:rPr>
        <w:t xml:space="preserve"> </w:t>
      </w:r>
      <w:r w:rsidRPr="00FB1F49">
        <w:rPr>
          <w:sz w:val="22"/>
        </w:rPr>
        <w:t>believe</w:t>
      </w:r>
      <w:r w:rsidR="000000C0" w:rsidRPr="00FB1F49">
        <w:rPr>
          <w:sz w:val="22"/>
        </w:rPr>
        <w:t>s</w:t>
      </w:r>
      <w:r w:rsidRPr="00FB1F49">
        <w:rPr>
          <w:sz w:val="22"/>
        </w:rPr>
        <w:t xml:space="preserve"> that assumptions underlying the forward</w:t>
      </w:r>
      <w:r w:rsidRPr="00FB1F49">
        <w:rPr>
          <w:sz w:val="22"/>
        </w:rPr>
        <w:noBreakHyphen/>
        <w:t>looking statements contained herein are reasonable, any of the assumptions could be inaccurate, and therefore any of these statements included herein may prove to be inaccurate. In light of the significant uncertainties inherent in the forward</w:t>
      </w:r>
      <w:r w:rsidRPr="00FB1F49">
        <w:rPr>
          <w:sz w:val="22"/>
        </w:rPr>
        <w:noBreakHyphen/>
        <w:t xml:space="preserve">looking statements included herein, the inclusion of such information should not be regarded as a representation by </w:t>
      </w:r>
      <w:r w:rsidR="000000C0" w:rsidRPr="00FB1F49">
        <w:rPr>
          <w:sz w:val="22"/>
        </w:rPr>
        <w:t xml:space="preserve">the Company </w:t>
      </w:r>
      <w:r w:rsidRPr="00FB1F49">
        <w:rPr>
          <w:sz w:val="22"/>
        </w:rPr>
        <w:t>or any other person that the results or conditions described in such statements or objectives and plans will be achieved.</w:t>
      </w:r>
    </w:p>
    <w:p w:rsidR="00D23678" w:rsidRPr="00B74F2D" w:rsidRDefault="00582033" w:rsidP="00744A72">
      <w:pPr>
        <w:widowControl/>
        <w:tabs>
          <w:tab w:val="center" w:pos="5400"/>
        </w:tabs>
        <w:suppressAutoHyphens/>
        <w:spacing w:after="240"/>
        <w:jc w:val="center"/>
        <w:rPr>
          <w:b/>
          <w:bCs/>
          <w:sz w:val="22"/>
        </w:rPr>
      </w:pPr>
      <w:r w:rsidRPr="0053635E">
        <w:rPr>
          <w:b/>
          <w:bCs/>
          <w:sz w:val="22"/>
          <w:highlight w:val="yellow"/>
        </w:rPr>
        <w:br w:type="page"/>
      </w:r>
      <w:r w:rsidR="00D23678" w:rsidRPr="00B74F2D">
        <w:rPr>
          <w:b/>
          <w:bCs/>
          <w:sz w:val="22"/>
        </w:rPr>
        <w:lastRenderedPageBreak/>
        <w:t>PART I. FINANCIAL INFORMATION</w:t>
      </w:r>
    </w:p>
    <w:p w:rsidR="00E552F3" w:rsidRPr="00B74F2D" w:rsidRDefault="00EB0A53" w:rsidP="00EB0A53">
      <w:pPr>
        <w:widowControl/>
        <w:tabs>
          <w:tab w:val="left" w:pos="0"/>
        </w:tabs>
        <w:suppressAutoHyphens/>
        <w:spacing w:after="240"/>
        <w:rPr>
          <w:b/>
          <w:bCs/>
          <w:sz w:val="22"/>
        </w:rPr>
      </w:pPr>
      <w:r w:rsidRPr="00B74F2D">
        <w:rPr>
          <w:b/>
          <w:bCs/>
          <w:sz w:val="22"/>
        </w:rPr>
        <w:t>Item 1.  Financial Statements</w:t>
      </w:r>
    </w:p>
    <w:p w:rsidR="00CA14BE" w:rsidRPr="00B74F2D" w:rsidRDefault="00CA14BE" w:rsidP="00744A72">
      <w:pPr>
        <w:widowControl/>
        <w:tabs>
          <w:tab w:val="center" w:pos="5400"/>
        </w:tabs>
        <w:suppressAutoHyphens/>
        <w:spacing w:after="240"/>
        <w:jc w:val="center"/>
        <w:rPr>
          <w:b/>
          <w:bCs/>
          <w:sz w:val="22"/>
        </w:rPr>
      </w:pPr>
      <w:r w:rsidRPr="00B74F2D">
        <w:rPr>
          <w:b/>
          <w:bCs/>
          <w:sz w:val="22"/>
        </w:rPr>
        <w:t>TRAC Intermodal LLC and Subsidiaries</w:t>
      </w:r>
    </w:p>
    <w:p w:rsidR="00CA14BE" w:rsidRPr="00B74F2D" w:rsidRDefault="00CA14BE" w:rsidP="0035035B">
      <w:pPr>
        <w:widowControl/>
        <w:tabs>
          <w:tab w:val="center" w:pos="5400"/>
        </w:tabs>
        <w:suppressAutoHyphens/>
        <w:spacing w:after="240"/>
        <w:jc w:val="center"/>
        <w:rPr>
          <w:b/>
          <w:bCs/>
          <w:sz w:val="22"/>
        </w:rPr>
      </w:pPr>
      <w:r w:rsidRPr="00B74F2D">
        <w:rPr>
          <w:b/>
          <w:bCs/>
          <w:sz w:val="22"/>
        </w:rPr>
        <w:t>Consolidated Balance Sheets</w:t>
      </w:r>
    </w:p>
    <w:p w:rsidR="00905B3B" w:rsidRPr="00B74F2D" w:rsidRDefault="00905B3B" w:rsidP="0035035B">
      <w:pPr>
        <w:widowControl/>
        <w:tabs>
          <w:tab w:val="center" w:pos="5400"/>
        </w:tabs>
        <w:suppressAutoHyphens/>
        <w:spacing w:after="240"/>
        <w:jc w:val="center"/>
        <w:rPr>
          <w:b/>
          <w:bCs/>
          <w:sz w:val="22"/>
        </w:rPr>
      </w:pPr>
      <w:r w:rsidRPr="00B74F2D">
        <w:rPr>
          <w:b/>
          <w:bCs/>
          <w:sz w:val="22"/>
        </w:rPr>
        <w:t>(Unaudited)</w:t>
      </w:r>
    </w:p>
    <w:p w:rsidR="00744A72" w:rsidRPr="00B74F2D" w:rsidRDefault="00CA14BE" w:rsidP="00744A72">
      <w:pPr>
        <w:widowControl/>
        <w:tabs>
          <w:tab w:val="center" w:pos="5400"/>
        </w:tabs>
        <w:suppressAutoHyphens/>
        <w:spacing w:after="240"/>
        <w:jc w:val="center"/>
        <w:rPr>
          <w:b/>
          <w:bCs/>
          <w:sz w:val="22"/>
        </w:rPr>
      </w:pPr>
      <w:r w:rsidRPr="00B74F2D">
        <w:rPr>
          <w:b/>
          <w:bCs/>
          <w:sz w:val="22"/>
        </w:rPr>
        <w:t>(Dollars in Thousands)</w:t>
      </w:r>
    </w:p>
    <w:tbl>
      <w:tblPr>
        <w:tblW w:w="4677" w:type="pct"/>
        <w:jc w:val="center"/>
        <w:tblCellMar>
          <w:left w:w="72" w:type="dxa"/>
          <w:right w:w="72" w:type="dxa"/>
        </w:tblCellMar>
        <w:tblLook w:val="0000" w:firstRow="0" w:lastRow="0" w:firstColumn="0" w:lastColumn="0" w:noHBand="0" w:noVBand="0"/>
      </w:tblPr>
      <w:tblGrid>
        <w:gridCol w:w="6266"/>
        <w:gridCol w:w="1712"/>
        <w:gridCol w:w="1586"/>
      </w:tblGrid>
      <w:tr w:rsidR="00BE38C9" w:rsidRPr="00B74F2D" w:rsidTr="00664BD4">
        <w:trPr>
          <w:cantSplit/>
          <w:jc w:val="center"/>
        </w:trPr>
        <w:tc>
          <w:tcPr>
            <w:tcW w:w="3276" w:type="pct"/>
            <w:tcBorders>
              <w:top w:val="nil"/>
              <w:left w:val="nil"/>
              <w:bottom w:val="nil"/>
              <w:right w:val="nil"/>
            </w:tcBorders>
          </w:tcPr>
          <w:p w:rsidR="00BE38C9" w:rsidRPr="00B74F2D" w:rsidRDefault="00BE38C9"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22"/>
              </w:rPr>
            </w:pPr>
          </w:p>
        </w:tc>
        <w:tc>
          <w:tcPr>
            <w:tcW w:w="895" w:type="pct"/>
            <w:tcBorders>
              <w:top w:val="nil"/>
              <w:left w:val="nil"/>
              <w:bottom w:val="nil"/>
              <w:right w:val="nil"/>
            </w:tcBorders>
            <w:vAlign w:val="bottom"/>
          </w:tcPr>
          <w:p w:rsidR="00BE38C9" w:rsidRPr="00B74F2D" w:rsidRDefault="00BE38C9"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829" w:type="pct"/>
            <w:tcBorders>
              <w:top w:val="nil"/>
              <w:left w:val="nil"/>
              <w:bottom w:val="nil"/>
              <w:right w:val="nil"/>
            </w:tcBorders>
            <w:vAlign w:val="bottom"/>
          </w:tcPr>
          <w:p w:rsidR="00BE38C9" w:rsidRPr="00B74F2D" w:rsidRDefault="00BE38C9"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r w:rsidR="00BE38C9" w:rsidRPr="00B74F2D" w:rsidTr="00664BD4">
        <w:trPr>
          <w:cantSplit/>
          <w:jc w:val="center"/>
        </w:trPr>
        <w:tc>
          <w:tcPr>
            <w:tcW w:w="3276" w:type="pct"/>
            <w:tcBorders>
              <w:top w:val="nil"/>
              <w:left w:val="nil"/>
              <w:bottom w:val="nil"/>
              <w:right w:val="nil"/>
            </w:tcBorders>
          </w:tcPr>
          <w:p w:rsidR="00BE38C9" w:rsidRPr="00B74F2D" w:rsidRDefault="00BE38C9"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22"/>
              </w:rPr>
            </w:pPr>
          </w:p>
        </w:tc>
        <w:tc>
          <w:tcPr>
            <w:tcW w:w="895" w:type="pct"/>
            <w:tcBorders>
              <w:top w:val="nil"/>
              <w:left w:val="nil"/>
              <w:bottom w:val="nil"/>
              <w:right w:val="nil"/>
            </w:tcBorders>
            <w:vAlign w:val="bottom"/>
          </w:tcPr>
          <w:p w:rsidR="00BE38C9" w:rsidRPr="00B74F2D" w:rsidRDefault="00B74F2D" w:rsidP="00B74F2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b/>
                <w:sz w:val="22"/>
              </w:rPr>
            </w:pPr>
            <w:r w:rsidRPr="00B74F2D">
              <w:rPr>
                <w:b/>
                <w:sz w:val="22"/>
              </w:rPr>
              <w:t>March</w:t>
            </w:r>
            <w:r w:rsidR="00BE38C9" w:rsidRPr="00B74F2D">
              <w:rPr>
                <w:b/>
                <w:sz w:val="22"/>
              </w:rPr>
              <w:t xml:space="preserve"> 3</w:t>
            </w:r>
            <w:r w:rsidRPr="00B74F2D">
              <w:rPr>
                <w:b/>
                <w:sz w:val="22"/>
              </w:rPr>
              <w:t>1</w:t>
            </w:r>
            <w:r w:rsidR="00BE38C9" w:rsidRPr="00B74F2D">
              <w:rPr>
                <w:b/>
                <w:sz w:val="22"/>
              </w:rPr>
              <w:t>,</w:t>
            </w:r>
          </w:p>
        </w:tc>
        <w:tc>
          <w:tcPr>
            <w:tcW w:w="829" w:type="pct"/>
            <w:tcBorders>
              <w:top w:val="nil"/>
              <w:left w:val="nil"/>
              <w:bottom w:val="nil"/>
              <w:right w:val="nil"/>
            </w:tcBorders>
            <w:vAlign w:val="bottom"/>
          </w:tcPr>
          <w:p w:rsidR="00BE38C9" w:rsidRPr="00B74F2D" w:rsidRDefault="00BE38C9" w:rsidP="00BE38C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b/>
                <w:sz w:val="22"/>
              </w:rPr>
            </w:pPr>
            <w:r w:rsidRPr="00B74F2D">
              <w:rPr>
                <w:b/>
                <w:sz w:val="22"/>
              </w:rPr>
              <w:t>December 31,</w:t>
            </w:r>
          </w:p>
        </w:tc>
      </w:tr>
      <w:tr w:rsidR="00BE38C9" w:rsidRPr="0053635E" w:rsidTr="00664BD4">
        <w:trPr>
          <w:cantSplit/>
          <w:jc w:val="center"/>
        </w:trPr>
        <w:tc>
          <w:tcPr>
            <w:tcW w:w="3276" w:type="pct"/>
            <w:tcBorders>
              <w:top w:val="nil"/>
              <w:left w:val="nil"/>
              <w:bottom w:val="nil"/>
              <w:right w:val="nil"/>
            </w:tcBorders>
          </w:tcPr>
          <w:p w:rsidR="00BE38C9" w:rsidRPr="00B74F2D" w:rsidRDefault="00BE38C9"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22"/>
              </w:rPr>
            </w:pPr>
          </w:p>
        </w:tc>
        <w:tc>
          <w:tcPr>
            <w:tcW w:w="895" w:type="pct"/>
            <w:tcBorders>
              <w:top w:val="nil"/>
              <w:left w:val="nil"/>
              <w:bottom w:val="nil"/>
              <w:right w:val="nil"/>
            </w:tcBorders>
            <w:vAlign w:val="bottom"/>
          </w:tcPr>
          <w:p w:rsidR="00BE38C9" w:rsidRPr="00B74F2D" w:rsidRDefault="00BE38C9" w:rsidP="00B74F2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B74F2D">
              <w:rPr>
                <w:b/>
                <w:bCs/>
                <w:sz w:val="22"/>
              </w:rPr>
              <w:t>201</w:t>
            </w:r>
            <w:r w:rsidR="00B74F2D" w:rsidRPr="00B74F2D">
              <w:rPr>
                <w:b/>
                <w:bCs/>
                <w:sz w:val="22"/>
              </w:rPr>
              <w:t>4</w:t>
            </w:r>
          </w:p>
        </w:tc>
        <w:tc>
          <w:tcPr>
            <w:tcW w:w="829" w:type="pct"/>
            <w:tcBorders>
              <w:top w:val="nil"/>
              <w:left w:val="nil"/>
              <w:bottom w:val="nil"/>
              <w:right w:val="nil"/>
            </w:tcBorders>
            <w:vAlign w:val="bottom"/>
          </w:tcPr>
          <w:p w:rsidR="00BE38C9" w:rsidRPr="00B74F2D" w:rsidRDefault="00BE38C9" w:rsidP="00B74F2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B74F2D">
              <w:rPr>
                <w:b/>
                <w:bCs/>
                <w:sz w:val="22"/>
              </w:rPr>
              <w:t>201</w:t>
            </w:r>
            <w:r w:rsidR="00B74F2D" w:rsidRPr="00B74F2D">
              <w:rPr>
                <w:b/>
                <w:bCs/>
                <w:sz w:val="22"/>
              </w:rPr>
              <w:t>3</w:t>
            </w:r>
          </w:p>
        </w:tc>
      </w:tr>
      <w:tr w:rsidR="00CA14BE" w:rsidRPr="0053635E" w:rsidTr="00664BD4">
        <w:trPr>
          <w:cantSplit/>
          <w:jc w:val="center"/>
        </w:trPr>
        <w:tc>
          <w:tcPr>
            <w:tcW w:w="3276" w:type="pct"/>
            <w:tcBorders>
              <w:top w:val="nil"/>
              <w:left w:val="nil"/>
              <w:bottom w:val="nil"/>
              <w:right w:val="nil"/>
            </w:tcBorders>
          </w:tcPr>
          <w:p w:rsidR="00CA14BE" w:rsidRPr="00B74F2D"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22"/>
              </w:rPr>
            </w:pPr>
            <w:r w:rsidRPr="00B74F2D">
              <w:rPr>
                <w:b/>
                <w:bCs/>
                <w:sz w:val="22"/>
              </w:rPr>
              <w:t>Assets</w:t>
            </w:r>
          </w:p>
        </w:tc>
        <w:tc>
          <w:tcPr>
            <w:tcW w:w="895" w:type="pct"/>
            <w:tcBorders>
              <w:top w:val="nil"/>
              <w:left w:val="nil"/>
              <w:bottom w:val="nil"/>
              <w:right w:val="nil"/>
            </w:tcBorders>
            <w:vAlign w:val="bottom"/>
          </w:tcPr>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829" w:type="pct"/>
            <w:tcBorders>
              <w:top w:val="nil"/>
              <w:left w:val="nil"/>
              <w:bottom w:val="nil"/>
              <w:right w:val="nil"/>
            </w:tcBorders>
            <w:vAlign w:val="bottom"/>
          </w:tcPr>
          <w:p w:rsidR="00CA14BE" w:rsidRPr="00B74F2D"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r w:rsidR="00D23678" w:rsidRPr="0053635E" w:rsidTr="00664BD4">
        <w:trPr>
          <w:cantSplit/>
          <w:jc w:val="center"/>
        </w:trPr>
        <w:tc>
          <w:tcPr>
            <w:tcW w:w="3276" w:type="pct"/>
            <w:tcBorders>
              <w:top w:val="nil"/>
              <w:left w:val="nil"/>
              <w:bottom w:val="nil"/>
              <w:right w:val="nil"/>
            </w:tcBorders>
          </w:tcPr>
          <w:p w:rsidR="00D23678" w:rsidRPr="00A80907" w:rsidRDefault="00D23678" w:rsidP="003C3ACB">
            <w:pPr>
              <w:widowControl/>
              <w:suppressAutoHyphens/>
              <w:ind w:left="200" w:hanging="200"/>
              <w:rPr>
                <w:sz w:val="22"/>
              </w:rPr>
            </w:pPr>
            <w:r w:rsidRPr="00A80907">
              <w:rPr>
                <w:sz w:val="22"/>
              </w:rPr>
              <w:t>Cash and cash equivalents</w:t>
            </w:r>
            <w:r w:rsidRPr="00A80907">
              <w:rPr>
                <w:sz w:val="22"/>
              </w:rPr>
              <w:tab/>
            </w:r>
          </w:p>
        </w:tc>
        <w:tc>
          <w:tcPr>
            <w:tcW w:w="895" w:type="pct"/>
            <w:tcBorders>
              <w:top w:val="nil"/>
              <w:left w:val="nil"/>
              <w:bottom w:val="nil"/>
              <w:right w:val="nil"/>
            </w:tcBorders>
            <w:vAlign w:val="bottom"/>
          </w:tcPr>
          <w:p w:rsidR="00D23678" w:rsidRPr="00A80907" w:rsidRDefault="00D23678" w:rsidP="00A8090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A80907">
              <w:rPr>
                <w:sz w:val="22"/>
              </w:rPr>
              <w:t>$</w:t>
            </w:r>
            <w:r w:rsidR="00B02A74" w:rsidRPr="00A80907">
              <w:rPr>
                <w:sz w:val="22"/>
              </w:rPr>
              <w:t xml:space="preserve">       </w:t>
            </w:r>
            <w:r w:rsidR="00691F97" w:rsidRPr="00A80907">
              <w:rPr>
                <w:sz w:val="22"/>
              </w:rPr>
              <w:t xml:space="preserve">  </w:t>
            </w:r>
            <w:r w:rsidR="00B02A74" w:rsidRPr="00A80907">
              <w:rPr>
                <w:sz w:val="22"/>
              </w:rPr>
              <w:t xml:space="preserve">      </w:t>
            </w:r>
            <w:r w:rsidR="000B4F59" w:rsidRPr="00A80907">
              <w:rPr>
                <w:sz w:val="22"/>
              </w:rPr>
              <w:t xml:space="preserve">  </w:t>
            </w:r>
            <w:r w:rsidR="00A80907" w:rsidRPr="00A80907">
              <w:rPr>
                <w:sz w:val="22"/>
              </w:rPr>
              <w:t>6</w:t>
            </w:r>
            <w:r w:rsidRPr="00A80907">
              <w:rPr>
                <w:sz w:val="22"/>
              </w:rPr>
              <w:t>,</w:t>
            </w:r>
            <w:r w:rsidR="00A80907" w:rsidRPr="00A80907">
              <w:rPr>
                <w:sz w:val="22"/>
              </w:rPr>
              <w:t>115</w:t>
            </w:r>
          </w:p>
        </w:tc>
        <w:tc>
          <w:tcPr>
            <w:tcW w:w="829" w:type="pct"/>
            <w:tcBorders>
              <w:top w:val="nil"/>
              <w:left w:val="nil"/>
              <w:bottom w:val="nil"/>
              <w:right w:val="nil"/>
            </w:tcBorders>
            <w:vAlign w:val="bottom"/>
          </w:tcPr>
          <w:p w:rsidR="00D23678" w:rsidRPr="00B74F2D" w:rsidRDefault="00D23678" w:rsidP="00B74F2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B74F2D">
              <w:rPr>
                <w:sz w:val="22"/>
              </w:rPr>
              <w:t>$</w:t>
            </w:r>
            <w:r w:rsidR="00B02A74" w:rsidRPr="00B74F2D">
              <w:rPr>
                <w:sz w:val="22"/>
              </w:rPr>
              <w:t xml:space="preserve">   </w:t>
            </w:r>
            <w:r w:rsidR="00E72907" w:rsidRPr="00B74F2D">
              <w:rPr>
                <w:sz w:val="22"/>
              </w:rPr>
              <w:t xml:space="preserve">   </w:t>
            </w:r>
            <w:r w:rsidR="00B02A74" w:rsidRPr="00B74F2D">
              <w:rPr>
                <w:sz w:val="22"/>
              </w:rPr>
              <w:t xml:space="preserve">       </w:t>
            </w:r>
            <w:r w:rsidR="00B74F2D" w:rsidRPr="00B74F2D">
              <w:rPr>
                <w:sz w:val="22"/>
              </w:rPr>
              <w:t>11</w:t>
            </w:r>
            <w:r w:rsidRPr="00B74F2D">
              <w:rPr>
                <w:sz w:val="22"/>
              </w:rPr>
              <w:t>,</w:t>
            </w:r>
            <w:r w:rsidR="00B74F2D" w:rsidRPr="00B74F2D">
              <w:rPr>
                <w:sz w:val="22"/>
              </w:rPr>
              <w:t>843</w:t>
            </w:r>
          </w:p>
        </w:tc>
      </w:tr>
      <w:tr w:rsidR="00D23678" w:rsidRPr="0053635E" w:rsidTr="00664BD4">
        <w:trPr>
          <w:cantSplit/>
          <w:jc w:val="center"/>
        </w:trPr>
        <w:tc>
          <w:tcPr>
            <w:tcW w:w="3276" w:type="pct"/>
            <w:tcBorders>
              <w:top w:val="nil"/>
              <w:left w:val="nil"/>
              <w:bottom w:val="nil"/>
              <w:right w:val="nil"/>
            </w:tcBorders>
          </w:tcPr>
          <w:p w:rsidR="00D23678" w:rsidRPr="00A80907" w:rsidRDefault="00D23678" w:rsidP="00A80907">
            <w:pPr>
              <w:widowControl/>
              <w:suppressAutoHyphens/>
              <w:ind w:left="200" w:hanging="200"/>
              <w:rPr>
                <w:sz w:val="22"/>
              </w:rPr>
            </w:pPr>
            <w:r w:rsidRPr="00A80907">
              <w:rPr>
                <w:sz w:val="22"/>
              </w:rPr>
              <w:t>Accounts receivable, net of allowance of $</w:t>
            </w:r>
            <w:r w:rsidR="00A80907" w:rsidRPr="00A80907">
              <w:rPr>
                <w:sz w:val="22"/>
              </w:rPr>
              <w:t>14</w:t>
            </w:r>
            <w:r w:rsidR="000B4F59" w:rsidRPr="00A80907">
              <w:rPr>
                <w:sz w:val="22"/>
              </w:rPr>
              <w:t>,</w:t>
            </w:r>
            <w:r w:rsidR="00A80907" w:rsidRPr="00A80907">
              <w:rPr>
                <w:sz w:val="22"/>
              </w:rPr>
              <w:t>728</w:t>
            </w:r>
            <w:r w:rsidRPr="00A80907">
              <w:rPr>
                <w:sz w:val="22"/>
              </w:rPr>
              <w:t xml:space="preserve"> and</w:t>
            </w:r>
            <w:r w:rsidR="003C3ACB" w:rsidRPr="00A80907">
              <w:rPr>
                <w:sz w:val="22"/>
              </w:rPr>
              <w:t xml:space="preserve">                </w:t>
            </w:r>
            <w:r w:rsidRPr="00A80907">
              <w:rPr>
                <w:sz w:val="22"/>
              </w:rPr>
              <w:t xml:space="preserve"> $</w:t>
            </w:r>
            <w:r w:rsidR="00B74F2D" w:rsidRPr="00A80907">
              <w:rPr>
                <w:sz w:val="22"/>
              </w:rPr>
              <w:t>12</w:t>
            </w:r>
            <w:r w:rsidRPr="00A80907">
              <w:rPr>
                <w:sz w:val="22"/>
              </w:rPr>
              <w:t>,</w:t>
            </w:r>
            <w:r w:rsidR="00B74F2D" w:rsidRPr="00A80907">
              <w:rPr>
                <w:sz w:val="22"/>
              </w:rPr>
              <w:t>475</w:t>
            </w:r>
            <w:r w:rsidRPr="00A80907">
              <w:rPr>
                <w:sz w:val="22"/>
              </w:rPr>
              <w:t>, respectively</w:t>
            </w:r>
          </w:p>
        </w:tc>
        <w:tc>
          <w:tcPr>
            <w:tcW w:w="895" w:type="pct"/>
            <w:tcBorders>
              <w:top w:val="nil"/>
              <w:left w:val="nil"/>
              <w:bottom w:val="nil"/>
              <w:right w:val="nil"/>
            </w:tcBorders>
            <w:vAlign w:val="bottom"/>
          </w:tcPr>
          <w:p w:rsidR="00D23678" w:rsidRPr="00A80907" w:rsidRDefault="000B4F59" w:rsidP="00A8090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A80907">
              <w:rPr>
                <w:sz w:val="22"/>
              </w:rPr>
              <w:t>1</w:t>
            </w:r>
            <w:r w:rsidR="00A80907" w:rsidRPr="00A80907">
              <w:rPr>
                <w:sz w:val="22"/>
              </w:rPr>
              <w:t>15</w:t>
            </w:r>
            <w:r w:rsidR="00D23678" w:rsidRPr="00A80907">
              <w:rPr>
                <w:sz w:val="22"/>
              </w:rPr>
              <w:t>,</w:t>
            </w:r>
            <w:r w:rsidR="00A80907" w:rsidRPr="00A80907">
              <w:rPr>
                <w:sz w:val="22"/>
              </w:rPr>
              <w:t>076</w:t>
            </w:r>
          </w:p>
        </w:tc>
        <w:tc>
          <w:tcPr>
            <w:tcW w:w="829" w:type="pct"/>
            <w:tcBorders>
              <w:top w:val="nil"/>
              <w:left w:val="nil"/>
              <w:bottom w:val="nil"/>
              <w:right w:val="nil"/>
            </w:tcBorders>
            <w:vAlign w:val="bottom"/>
          </w:tcPr>
          <w:p w:rsidR="00D23678" w:rsidRPr="00B74F2D" w:rsidRDefault="00B74F2D" w:rsidP="00B74F2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B74F2D">
              <w:rPr>
                <w:sz w:val="22"/>
              </w:rPr>
              <w:t>113</w:t>
            </w:r>
            <w:r w:rsidR="00D23678" w:rsidRPr="00B74F2D">
              <w:rPr>
                <w:sz w:val="22"/>
              </w:rPr>
              <w:t>,</w:t>
            </w:r>
            <w:r w:rsidRPr="00B74F2D">
              <w:rPr>
                <w:sz w:val="22"/>
              </w:rPr>
              <w:t>138</w:t>
            </w:r>
          </w:p>
        </w:tc>
      </w:tr>
      <w:tr w:rsidR="00D23678" w:rsidRPr="0053635E" w:rsidTr="00664BD4">
        <w:trPr>
          <w:cantSplit/>
          <w:jc w:val="center"/>
        </w:trPr>
        <w:tc>
          <w:tcPr>
            <w:tcW w:w="3276" w:type="pct"/>
            <w:tcBorders>
              <w:top w:val="nil"/>
              <w:left w:val="nil"/>
              <w:bottom w:val="nil"/>
              <w:right w:val="nil"/>
            </w:tcBorders>
          </w:tcPr>
          <w:p w:rsidR="00D23678" w:rsidRPr="00A80907" w:rsidRDefault="00D23678" w:rsidP="003C3ACB">
            <w:pPr>
              <w:widowControl/>
              <w:suppressAutoHyphens/>
              <w:ind w:left="200" w:hanging="200"/>
              <w:rPr>
                <w:sz w:val="22"/>
              </w:rPr>
            </w:pPr>
            <w:r w:rsidRPr="00A80907">
              <w:rPr>
                <w:sz w:val="22"/>
              </w:rPr>
              <w:t>Net investment in direct finance leases</w:t>
            </w:r>
            <w:r w:rsidRPr="00A80907">
              <w:rPr>
                <w:sz w:val="22"/>
              </w:rPr>
              <w:tab/>
            </w:r>
          </w:p>
        </w:tc>
        <w:tc>
          <w:tcPr>
            <w:tcW w:w="895" w:type="pct"/>
            <w:tcBorders>
              <w:top w:val="nil"/>
              <w:left w:val="nil"/>
              <w:bottom w:val="nil"/>
              <w:right w:val="nil"/>
            </w:tcBorders>
            <w:vAlign w:val="bottom"/>
          </w:tcPr>
          <w:p w:rsidR="00D23678" w:rsidRPr="00A80907" w:rsidRDefault="00A80907" w:rsidP="00A8090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A80907">
              <w:rPr>
                <w:sz w:val="22"/>
              </w:rPr>
              <w:t>21</w:t>
            </w:r>
            <w:r w:rsidR="00D23678" w:rsidRPr="00A80907">
              <w:rPr>
                <w:sz w:val="22"/>
              </w:rPr>
              <w:t>,</w:t>
            </w:r>
            <w:r w:rsidRPr="00A80907">
              <w:rPr>
                <w:sz w:val="22"/>
              </w:rPr>
              <w:t>668</w:t>
            </w:r>
          </w:p>
        </w:tc>
        <w:tc>
          <w:tcPr>
            <w:tcW w:w="829" w:type="pct"/>
            <w:tcBorders>
              <w:top w:val="nil"/>
              <w:left w:val="nil"/>
              <w:bottom w:val="nil"/>
              <w:right w:val="nil"/>
            </w:tcBorders>
            <w:vAlign w:val="bottom"/>
          </w:tcPr>
          <w:p w:rsidR="00D23678" w:rsidRPr="00B74F2D" w:rsidRDefault="00B74F2D" w:rsidP="00B74F2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B74F2D">
              <w:rPr>
                <w:sz w:val="22"/>
              </w:rPr>
              <w:t>25</w:t>
            </w:r>
            <w:r w:rsidR="00D23678" w:rsidRPr="00B74F2D">
              <w:rPr>
                <w:sz w:val="22"/>
              </w:rPr>
              <w:t>,</w:t>
            </w:r>
            <w:r w:rsidRPr="00B74F2D">
              <w:rPr>
                <w:sz w:val="22"/>
              </w:rPr>
              <w:t>026</w:t>
            </w:r>
          </w:p>
        </w:tc>
      </w:tr>
      <w:tr w:rsidR="00D23678" w:rsidRPr="0053635E" w:rsidTr="00664BD4">
        <w:trPr>
          <w:cantSplit/>
          <w:jc w:val="center"/>
        </w:trPr>
        <w:tc>
          <w:tcPr>
            <w:tcW w:w="3276" w:type="pct"/>
            <w:tcBorders>
              <w:top w:val="nil"/>
              <w:left w:val="nil"/>
              <w:bottom w:val="nil"/>
              <w:right w:val="nil"/>
            </w:tcBorders>
          </w:tcPr>
          <w:p w:rsidR="00D23678" w:rsidRPr="00A80907" w:rsidRDefault="00D23678" w:rsidP="00A80907">
            <w:pPr>
              <w:widowControl/>
              <w:suppressAutoHyphens/>
              <w:ind w:left="200" w:hanging="200"/>
              <w:rPr>
                <w:sz w:val="22"/>
              </w:rPr>
            </w:pPr>
            <w:r w:rsidRPr="00A80907">
              <w:rPr>
                <w:sz w:val="22"/>
              </w:rPr>
              <w:t xml:space="preserve">Leasing equipment, net of accumulated depreciation </w:t>
            </w:r>
            <w:r w:rsidR="003C3ACB" w:rsidRPr="00A80907">
              <w:rPr>
                <w:sz w:val="22"/>
              </w:rPr>
              <w:t xml:space="preserve">                         </w:t>
            </w:r>
            <w:r w:rsidRPr="00A80907">
              <w:rPr>
                <w:sz w:val="22"/>
              </w:rPr>
              <w:t>of $</w:t>
            </w:r>
            <w:r w:rsidR="00A80907" w:rsidRPr="00A80907">
              <w:rPr>
                <w:sz w:val="22"/>
              </w:rPr>
              <w:t>376</w:t>
            </w:r>
            <w:r w:rsidR="000B4F59" w:rsidRPr="00A80907">
              <w:rPr>
                <w:sz w:val="22"/>
              </w:rPr>
              <w:t>,</w:t>
            </w:r>
            <w:r w:rsidR="00A80907" w:rsidRPr="00A80907">
              <w:rPr>
                <w:sz w:val="22"/>
              </w:rPr>
              <w:t>227</w:t>
            </w:r>
            <w:r w:rsidRPr="00A80907">
              <w:rPr>
                <w:sz w:val="22"/>
              </w:rPr>
              <w:t xml:space="preserve"> and $</w:t>
            </w:r>
            <w:r w:rsidR="00B74F2D" w:rsidRPr="00A80907">
              <w:rPr>
                <w:sz w:val="22"/>
              </w:rPr>
              <w:t>365</w:t>
            </w:r>
            <w:r w:rsidR="00E007CA" w:rsidRPr="00A80907">
              <w:rPr>
                <w:sz w:val="22"/>
              </w:rPr>
              <w:t>,</w:t>
            </w:r>
            <w:r w:rsidR="00B74F2D" w:rsidRPr="00A80907">
              <w:rPr>
                <w:sz w:val="22"/>
              </w:rPr>
              <w:t>429</w:t>
            </w:r>
            <w:r w:rsidR="00752A04">
              <w:rPr>
                <w:sz w:val="22"/>
              </w:rPr>
              <w:t>,</w:t>
            </w:r>
            <w:r w:rsidRPr="00A80907">
              <w:rPr>
                <w:sz w:val="22"/>
              </w:rPr>
              <w:t xml:space="preserve"> respectively</w:t>
            </w:r>
          </w:p>
        </w:tc>
        <w:tc>
          <w:tcPr>
            <w:tcW w:w="895" w:type="pct"/>
            <w:tcBorders>
              <w:top w:val="nil"/>
              <w:left w:val="nil"/>
              <w:bottom w:val="nil"/>
              <w:right w:val="nil"/>
            </w:tcBorders>
            <w:vAlign w:val="bottom"/>
          </w:tcPr>
          <w:p w:rsidR="00D23678" w:rsidRPr="00A80907" w:rsidRDefault="00D23678" w:rsidP="00A8090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A80907">
              <w:rPr>
                <w:sz w:val="22"/>
              </w:rPr>
              <w:t>1,</w:t>
            </w:r>
            <w:r w:rsidR="00A80907" w:rsidRPr="00A80907">
              <w:rPr>
                <w:sz w:val="22"/>
              </w:rPr>
              <w:t>387</w:t>
            </w:r>
            <w:r w:rsidRPr="00A80907">
              <w:rPr>
                <w:sz w:val="22"/>
              </w:rPr>
              <w:t>,</w:t>
            </w:r>
            <w:r w:rsidR="00A80907" w:rsidRPr="00A80907">
              <w:rPr>
                <w:sz w:val="22"/>
              </w:rPr>
              <w:t>038</w:t>
            </w:r>
          </w:p>
        </w:tc>
        <w:tc>
          <w:tcPr>
            <w:tcW w:w="829" w:type="pct"/>
            <w:tcBorders>
              <w:top w:val="nil"/>
              <w:left w:val="nil"/>
              <w:bottom w:val="nil"/>
              <w:right w:val="nil"/>
            </w:tcBorders>
            <w:vAlign w:val="bottom"/>
          </w:tcPr>
          <w:p w:rsidR="00D23678" w:rsidRPr="00B74F2D" w:rsidRDefault="00D23678" w:rsidP="00B74F2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B74F2D">
              <w:rPr>
                <w:sz w:val="22"/>
              </w:rPr>
              <w:t>1,3</w:t>
            </w:r>
            <w:r w:rsidR="00B74F2D" w:rsidRPr="00B74F2D">
              <w:rPr>
                <w:sz w:val="22"/>
              </w:rPr>
              <w:t>94</w:t>
            </w:r>
            <w:r w:rsidRPr="00B74F2D">
              <w:rPr>
                <w:sz w:val="22"/>
              </w:rPr>
              <w:t>,</w:t>
            </w:r>
            <w:r w:rsidR="00B74F2D" w:rsidRPr="00B74F2D">
              <w:rPr>
                <w:sz w:val="22"/>
              </w:rPr>
              <w:t>088</w:t>
            </w:r>
          </w:p>
        </w:tc>
      </w:tr>
      <w:tr w:rsidR="00F84FB4" w:rsidRPr="0053635E" w:rsidTr="00664BD4">
        <w:trPr>
          <w:cantSplit/>
          <w:jc w:val="center"/>
        </w:trPr>
        <w:tc>
          <w:tcPr>
            <w:tcW w:w="3276" w:type="pct"/>
            <w:tcBorders>
              <w:top w:val="nil"/>
              <w:left w:val="nil"/>
              <w:bottom w:val="nil"/>
              <w:right w:val="nil"/>
            </w:tcBorders>
          </w:tcPr>
          <w:p w:rsidR="00F84FB4" w:rsidRPr="00A80907" w:rsidRDefault="00F84FB4" w:rsidP="003C3ACB">
            <w:pPr>
              <w:widowControl/>
              <w:suppressAutoHyphens/>
              <w:ind w:left="200" w:hanging="200"/>
              <w:rPr>
                <w:sz w:val="22"/>
              </w:rPr>
            </w:pPr>
            <w:r w:rsidRPr="00A80907">
              <w:rPr>
                <w:sz w:val="22"/>
              </w:rPr>
              <w:t>Goodwill</w:t>
            </w:r>
            <w:r w:rsidRPr="00A80907">
              <w:rPr>
                <w:sz w:val="22"/>
              </w:rPr>
              <w:tab/>
            </w:r>
          </w:p>
        </w:tc>
        <w:tc>
          <w:tcPr>
            <w:tcW w:w="895" w:type="pct"/>
            <w:tcBorders>
              <w:top w:val="nil"/>
              <w:left w:val="nil"/>
              <w:bottom w:val="nil"/>
              <w:right w:val="nil"/>
            </w:tcBorders>
            <w:vAlign w:val="bottom"/>
          </w:tcPr>
          <w:p w:rsidR="00F84FB4" w:rsidRPr="00A80907" w:rsidRDefault="00F84FB4" w:rsidP="001152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A80907">
              <w:rPr>
                <w:sz w:val="22"/>
              </w:rPr>
              <w:t>251,907</w:t>
            </w:r>
          </w:p>
        </w:tc>
        <w:tc>
          <w:tcPr>
            <w:tcW w:w="829" w:type="pct"/>
            <w:tcBorders>
              <w:top w:val="nil"/>
              <w:left w:val="nil"/>
              <w:bottom w:val="nil"/>
              <w:right w:val="nil"/>
            </w:tcBorders>
            <w:vAlign w:val="bottom"/>
          </w:tcPr>
          <w:p w:rsidR="00F84FB4" w:rsidRPr="00B74F2D" w:rsidRDefault="00F84FB4" w:rsidP="00E552F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B74F2D">
              <w:rPr>
                <w:sz w:val="22"/>
              </w:rPr>
              <w:t>251,907</w:t>
            </w:r>
          </w:p>
        </w:tc>
      </w:tr>
      <w:tr w:rsidR="00F84FB4" w:rsidRPr="0053635E" w:rsidTr="00664BD4">
        <w:trPr>
          <w:cantSplit/>
          <w:jc w:val="center"/>
        </w:trPr>
        <w:tc>
          <w:tcPr>
            <w:tcW w:w="3276" w:type="pct"/>
            <w:tcBorders>
              <w:top w:val="nil"/>
              <w:left w:val="nil"/>
              <w:bottom w:val="nil"/>
              <w:right w:val="nil"/>
            </w:tcBorders>
          </w:tcPr>
          <w:p w:rsidR="00F84FB4" w:rsidRPr="00A80907" w:rsidRDefault="00F84FB4" w:rsidP="003C3ACB">
            <w:pPr>
              <w:widowControl/>
              <w:suppressAutoHyphens/>
              <w:spacing w:after="20"/>
              <w:ind w:left="200" w:hanging="200"/>
              <w:rPr>
                <w:sz w:val="22"/>
              </w:rPr>
            </w:pPr>
            <w:r w:rsidRPr="00A80907">
              <w:rPr>
                <w:sz w:val="22"/>
              </w:rPr>
              <w:t>Other assets</w:t>
            </w:r>
            <w:r w:rsidRPr="00A80907">
              <w:rPr>
                <w:sz w:val="22"/>
              </w:rPr>
              <w:tab/>
            </w:r>
          </w:p>
        </w:tc>
        <w:tc>
          <w:tcPr>
            <w:tcW w:w="895" w:type="pct"/>
            <w:tcBorders>
              <w:top w:val="nil"/>
              <w:left w:val="nil"/>
              <w:bottom w:val="nil"/>
              <w:right w:val="nil"/>
            </w:tcBorders>
            <w:vAlign w:val="bottom"/>
          </w:tcPr>
          <w:p w:rsidR="00F84FB4" w:rsidRPr="00A80907" w:rsidRDefault="00F84FB4" w:rsidP="00A8090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A80907">
              <w:rPr>
                <w:sz w:val="22"/>
              </w:rPr>
              <w:t>4</w:t>
            </w:r>
            <w:r w:rsidR="00A80907" w:rsidRPr="00A80907">
              <w:rPr>
                <w:sz w:val="22"/>
              </w:rPr>
              <w:t>6</w:t>
            </w:r>
            <w:r w:rsidRPr="00A80907">
              <w:rPr>
                <w:sz w:val="22"/>
              </w:rPr>
              <w:t>,</w:t>
            </w:r>
            <w:r w:rsidR="00A80907" w:rsidRPr="00A80907">
              <w:rPr>
                <w:sz w:val="22"/>
              </w:rPr>
              <w:t>483</w:t>
            </w:r>
          </w:p>
        </w:tc>
        <w:tc>
          <w:tcPr>
            <w:tcW w:w="829" w:type="pct"/>
            <w:tcBorders>
              <w:top w:val="nil"/>
              <w:left w:val="nil"/>
              <w:bottom w:val="nil"/>
              <w:right w:val="nil"/>
            </w:tcBorders>
            <w:vAlign w:val="bottom"/>
          </w:tcPr>
          <w:p w:rsidR="00F84FB4" w:rsidRPr="00B74F2D" w:rsidRDefault="00F84FB4" w:rsidP="00B74F2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B74F2D">
              <w:rPr>
                <w:sz w:val="22"/>
              </w:rPr>
              <w:t>4</w:t>
            </w:r>
            <w:r w:rsidR="00B74F2D" w:rsidRPr="00B74F2D">
              <w:rPr>
                <w:sz w:val="22"/>
              </w:rPr>
              <w:t>5</w:t>
            </w:r>
            <w:r w:rsidRPr="00B74F2D">
              <w:rPr>
                <w:sz w:val="22"/>
              </w:rPr>
              <w:t>,</w:t>
            </w:r>
            <w:r w:rsidR="00B74F2D" w:rsidRPr="00B74F2D">
              <w:rPr>
                <w:sz w:val="22"/>
              </w:rPr>
              <w:t>908</w:t>
            </w:r>
          </w:p>
        </w:tc>
      </w:tr>
      <w:tr w:rsidR="00F84FB4" w:rsidRPr="0053635E" w:rsidTr="00664BD4">
        <w:trPr>
          <w:cantSplit/>
          <w:jc w:val="center"/>
        </w:trPr>
        <w:tc>
          <w:tcPr>
            <w:tcW w:w="3276" w:type="pct"/>
            <w:tcBorders>
              <w:top w:val="nil"/>
              <w:left w:val="nil"/>
              <w:bottom w:val="nil"/>
              <w:right w:val="nil"/>
            </w:tcBorders>
          </w:tcPr>
          <w:p w:rsidR="00F84FB4" w:rsidRPr="008F6C43" w:rsidRDefault="00F84FB4" w:rsidP="003C3ACB">
            <w:pPr>
              <w:widowControl/>
              <w:suppressAutoHyphens/>
              <w:spacing w:after="40"/>
              <w:ind w:left="200" w:hanging="200"/>
              <w:rPr>
                <w:b/>
                <w:sz w:val="22"/>
              </w:rPr>
            </w:pPr>
            <w:r w:rsidRPr="008F6C43">
              <w:rPr>
                <w:b/>
                <w:sz w:val="22"/>
              </w:rPr>
              <w:t>Total assets</w:t>
            </w:r>
            <w:r w:rsidRPr="008F6C43">
              <w:rPr>
                <w:b/>
                <w:sz w:val="22"/>
              </w:rPr>
              <w:tab/>
            </w:r>
          </w:p>
        </w:tc>
        <w:tc>
          <w:tcPr>
            <w:tcW w:w="895" w:type="pct"/>
            <w:tcBorders>
              <w:top w:val="nil"/>
              <w:left w:val="nil"/>
              <w:bottom w:val="nil"/>
              <w:right w:val="nil"/>
            </w:tcBorders>
            <w:vAlign w:val="bottom"/>
          </w:tcPr>
          <w:p w:rsidR="00F84FB4" w:rsidRPr="00A80907" w:rsidRDefault="00F84FB4" w:rsidP="00A80907">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A80907">
              <w:rPr>
                <w:sz w:val="22"/>
              </w:rPr>
              <w:t xml:space="preserve">$    </w:t>
            </w:r>
            <w:r w:rsidR="00691F97" w:rsidRPr="00A80907">
              <w:rPr>
                <w:sz w:val="22"/>
              </w:rPr>
              <w:t xml:space="preserve"> </w:t>
            </w:r>
            <w:r w:rsidRPr="00A80907">
              <w:rPr>
                <w:sz w:val="22"/>
              </w:rPr>
              <w:t xml:space="preserve">     1,</w:t>
            </w:r>
            <w:r w:rsidR="000B4F59" w:rsidRPr="00A80907">
              <w:rPr>
                <w:sz w:val="22"/>
              </w:rPr>
              <w:t>8</w:t>
            </w:r>
            <w:r w:rsidR="00A80907" w:rsidRPr="00A80907">
              <w:rPr>
                <w:sz w:val="22"/>
              </w:rPr>
              <w:t>28</w:t>
            </w:r>
            <w:r w:rsidRPr="00A80907">
              <w:rPr>
                <w:sz w:val="22"/>
              </w:rPr>
              <w:t>,</w:t>
            </w:r>
            <w:r w:rsidR="00A80907" w:rsidRPr="00A80907">
              <w:rPr>
                <w:sz w:val="22"/>
              </w:rPr>
              <w:t>287</w:t>
            </w:r>
          </w:p>
        </w:tc>
        <w:tc>
          <w:tcPr>
            <w:tcW w:w="829" w:type="pct"/>
            <w:tcBorders>
              <w:top w:val="nil"/>
              <w:left w:val="nil"/>
              <w:bottom w:val="nil"/>
              <w:right w:val="nil"/>
            </w:tcBorders>
            <w:vAlign w:val="bottom"/>
          </w:tcPr>
          <w:p w:rsidR="00F84FB4" w:rsidRPr="00B74F2D" w:rsidRDefault="00F84FB4" w:rsidP="00B74F2D">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B74F2D">
              <w:rPr>
                <w:sz w:val="22"/>
              </w:rPr>
              <w:t xml:space="preserve">$   </w:t>
            </w:r>
            <w:r w:rsidR="00E72907" w:rsidRPr="00B74F2D">
              <w:rPr>
                <w:sz w:val="22"/>
              </w:rPr>
              <w:t xml:space="preserve">  </w:t>
            </w:r>
            <w:r w:rsidRPr="00B74F2D">
              <w:rPr>
                <w:sz w:val="22"/>
              </w:rPr>
              <w:t xml:space="preserve">   1,</w:t>
            </w:r>
            <w:r w:rsidR="00B74F2D" w:rsidRPr="00B74F2D">
              <w:rPr>
                <w:sz w:val="22"/>
              </w:rPr>
              <w:t>841</w:t>
            </w:r>
            <w:r w:rsidRPr="00B74F2D">
              <w:rPr>
                <w:sz w:val="22"/>
              </w:rPr>
              <w:t>,</w:t>
            </w:r>
            <w:r w:rsidR="00B74F2D" w:rsidRPr="00B74F2D">
              <w:rPr>
                <w:sz w:val="22"/>
              </w:rPr>
              <w:t>910</w:t>
            </w:r>
          </w:p>
        </w:tc>
      </w:tr>
      <w:tr w:rsidR="00F84FB4" w:rsidRPr="0053635E" w:rsidTr="00664BD4">
        <w:trPr>
          <w:cantSplit/>
          <w:jc w:val="center"/>
        </w:trPr>
        <w:tc>
          <w:tcPr>
            <w:tcW w:w="3276" w:type="pct"/>
            <w:tcBorders>
              <w:top w:val="nil"/>
              <w:left w:val="nil"/>
              <w:bottom w:val="nil"/>
              <w:right w:val="nil"/>
            </w:tcBorders>
          </w:tcPr>
          <w:p w:rsidR="00F84FB4" w:rsidRPr="0053635E" w:rsidRDefault="00F84FB4"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22"/>
                <w:highlight w:val="yellow"/>
              </w:rPr>
            </w:pPr>
          </w:p>
        </w:tc>
        <w:tc>
          <w:tcPr>
            <w:tcW w:w="895" w:type="pct"/>
            <w:tcBorders>
              <w:top w:val="nil"/>
              <w:left w:val="nil"/>
              <w:bottom w:val="nil"/>
              <w:right w:val="nil"/>
            </w:tcBorders>
            <w:vAlign w:val="bottom"/>
          </w:tcPr>
          <w:p w:rsidR="00F84FB4" w:rsidRPr="0053635E" w:rsidRDefault="00F84FB4" w:rsidP="001152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829" w:type="pct"/>
            <w:tcBorders>
              <w:top w:val="nil"/>
              <w:left w:val="nil"/>
              <w:bottom w:val="nil"/>
              <w:right w:val="nil"/>
            </w:tcBorders>
            <w:vAlign w:val="bottom"/>
          </w:tcPr>
          <w:p w:rsidR="00F84FB4" w:rsidRPr="0053635E" w:rsidRDefault="00F84FB4" w:rsidP="00E552F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22"/>
              </w:rPr>
            </w:pPr>
            <w:r w:rsidRPr="00AC3313">
              <w:rPr>
                <w:b/>
                <w:bCs/>
                <w:sz w:val="22"/>
              </w:rPr>
              <w:t>Liabilities and member’s interest</w:t>
            </w:r>
          </w:p>
        </w:tc>
        <w:tc>
          <w:tcPr>
            <w:tcW w:w="895" w:type="pct"/>
            <w:tcBorders>
              <w:top w:val="nil"/>
              <w:left w:val="nil"/>
              <w:bottom w:val="nil"/>
              <w:right w:val="nil"/>
            </w:tcBorders>
            <w:vAlign w:val="bottom"/>
          </w:tcPr>
          <w:p w:rsidR="00F84FB4" w:rsidRPr="0053635E" w:rsidRDefault="00F84FB4" w:rsidP="001152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829" w:type="pct"/>
            <w:tcBorders>
              <w:top w:val="nil"/>
              <w:left w:val="nil"/>
              <w:bottom w:val="nil"/>
              <w:right w:val="nil"/>
            </w:tcBorders>
            <w:vAlign w:val="bottom"/>
          </w:tcPr>
          <w:p w:rsidR="00F84FB4" w:rsidRPr="0053635E" w:rsidRDefault="00F84FB4" w:rsidP="00E552F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22"/>
              </w:rPr>
            </w:pPr>
            <w:r w:rsidRPr="00AC3313">
              <w:rPr>
                <w:sz w:val="22"/>
              </w:rPr>
              <w:t>Liabilities</w:t>
            </w:r>
          </w:p>
        </w:tc>
        <w:tc>
          <w:tcPr>
            <w:tcW w:w="895" w:type="pct"/>
            <w:tcBorders>
              <w:top w:val="nil"/>
              <w:left w:val="nil"/>
              <w:bottom w:val="nil"/>
              <w:right w:val="nil"/>
            </w:tcBorders>
            <w:vAlign w:val="bottom"/>
          </w:tcPr>
          <w:p w:rsidR="00F84FB4" w:rsidRPr="0053635E" w:rsidRDefault="00F84FB4" w:rsidP="001152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829" w:type="pct"/>
            <w:tcBorders>
              <w:top w:val="nil"/>
              <w:left w:val="nil"/>
              <w:bottom w:val="nil"/>
              <w:right w:val="nil"/>
            </w:tcBorders>
            <w:vAlign w:val="bottom"/>
          </w:tcPr>
          <w:p w:rsidR="00F84FB4" w:rsidRPr="0053635E" w:rsidRDefault="00F84FB4" w:rsidP="00E552F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3C3ACB">
            <w:pPr>
              <w:widowControl/>
              <w:suppressAutoHyphens/>
              <w:ind w:left="400" w:hanging="200"/>
              <w:rPr>
                <w:sz w:val="22"/>
              </w:rPr>
            </w:pPr>
            <w:r w:rsidRPr="00AC3313">
              <w:rPr>
                <w:sz w:val="22"/>
              </w:rPr>
              <w:t>Accounts payable</w:t>
            </w:r>
            <w:r w:rsidRPr="00AC3313">
              <w:rPr>
                <w:sz w:val="22"/>
              </w:rPr>
              <w:tab/>
            </w:r>
          </w:p>
        </w:tc>
        <w:tc>
          <w:tcPr>
            <w:tcW w:w="895" w:type="pct"/>
            <w:tcBorders>
              <w:top w:val="nil"/>
              <w:left w:val="nil"/>
              <w:bottom w:val="nil"/>
              <w:right w:val="nil"/>
            </w:tcBorders>
            <w:vAlign w:val="bottom"/>
          </w:tcPr>
          <w:p w:rsidR="00F84FB4" w:rsidRPr="00A80907" w:rsidRDefault="00F84FB4" w:rsidP="00A8090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A80907">
              <w:rPr>
                <w:sz w:val="22"/>
              </w:rPr>
              <w:t xml:space="preserve">$    </w:t>
            </w:r>
            <w:r w:rsidR="00E72907" w:rsidRPr="00A80907">
              <w:rPr>
                <w:sz w:val="22"/>
              </w:rPr>
              <w:t xml:space="preserve"> </w:t>
            </w:r>
            <w:r w:rsidRPr="00A80907">
              <w:rPr>
                <w:sz w:val="22"/>
              </w:rPr>
              <w:t xml:space="preserve">   </w:t>
            </w:r>
            <w:r w:rsidR="00691F97" w:rsidRPr="00A80907">
              <w:rPr>
                <w:sz w:val="22"/>
              </w:rPr>
              <w:t xml:space="preserve"> </w:t>
            </w:r>
            <w:r w:rsidRPr="00A80907">
              <w:rPr>
                <w:sz w:val="22"/>
              </w:rPr>
              <w:t xml:space="preserve">      1</w:t>
            </w:r>
            <w:r w:rsidR="00A80907" w:rsidRPr="00A80907">
              <w:rPr>
                <w:sz w:val="22"/>
              </w:rPr>
              <w:t>4</w:t>
            </w:r>
            <w:r w:rsidRPr="00A80907">
              <w:rPr>
                <w:sz w:val="22"/>
              </w:rPr>
              <w:t>,</w:t>
            </w:r>
            <w:r w:rsidR="00A80907" w:rsidRPr="00A80907">
              <w:rPr>
                <w:sz w:val="22"/>
              </w:rPr>
              <w:t>146</w:t>
            </w:r>
          </w:p>
        </w:tc>
        <w:tc>
          <w:tcPr>
            <w:tcW w:w="829" w:type="pct"/>
            <w:tcBorders>
              <w:top w:val="nil"/>
              <w:left w:val="nil"/>
              <w:bottom w:val="nil"/>
              <w:right w:val="nil"/>
            </w:tcBorders>
            <w:vAlign w:val="bottom"/>
          </w:tcPr>
          <w:p w:rsidR="00F84FB4" w:rsidRPr="00860106" w:rsidRDefault="00F84FB4" w:rsidP="0086010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60106">
              <w:rPr>
                <w:sz w:val="22"/>
              </w:rPr>
              <w:t xml:space="preserve">$      </w:t>
            </w:r>
            <w:r w:rsidR="00E72907" w:rsidRPr="00860106">
              <w:rPr>
                <w:sz w:val="22"/>
              </w:rPr>
              <w:t xml:space="preserve">  </w:t>
            </w:r>
            <w:r w:rsidRPr="00860106">
              <w:rPr>
                <w:sz w:val="22"/>
              </w:rPr>
              <w:t xml:space="preserve">     1</w:t>
            </w:r>
            <w:r w:rsidR="00860106" w:rsidRPr="00860106">
              <w:rPr>
                <w:sz w:val="22"/>
              </w:rPr>
              <w:t>2</w:t>
            </w:r>
            <w:r w:rsidRPr="00860106">
              <w:rPr>
                <w:sz w:val="22"/>
              </w:rPr>
              <w:t>,</w:t>
            </w:r>
            <w:r w:rsidR="00860106" w:rsidRPr="00860106">
              <w:rPr>
                <w:sz w:val="22"/>
              </w:rPr>
              <w:t>092</w:t>
            </w: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3C3ACB">
            <w:pPr>
              <w:widowControl/>
              <w:suppressAutoHyphens/>
              <w:ind w:left="400" w:hanging="200"/>
              <w:rPr>
                <w:sz w:val="22"/>
              </w:rPr>
            </w:pPr>
            <w:r w:rsidRPr="00AC3313">
              <w:rPr>
                <w:sz w:val="22"/>
              </w:rPr>
              <w:t>Accrued expenses and other liabilities</w:t>
            </w:r>
            <w:r w:rsidRPr="00AC3313">
              <w:rPr>
                <w:sz w:val="22"/>
              </w:rPr>
              <w:tab/>
            </w:r>
          </w:p>
        </w:tc>
        <w:tc>
          <w:tcPr>
            <w:tcW w:w="895" w:type="pct"/>
            <w:tcBorders>
              <w:top w:val="nil"/>
              <w:left w:val="nil"/>
              <w:bottom w:val="nil"/>
              <w:right w:val="nil"/>
            </w:tcBorders>
            <w:vAlign w:val="bottom"/>
          </w:tcPr>
          <w:p w:rsidR="00F84FB4" w:rsidRPr="00A80907" w:rsidRDefault="00A80907" w:rsidP="00A8090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A80907">
              <w:rPr>
                <w:sz w:val="22"/>
              </w:rPr>
              <w:t>32</w:t>
            </w:r>
            <w:r w:rsidR="00F84FB4" w:rsidRPr="00A80907">
              <w:rPr>
                <w:sz w:val="22"/>
              </w:rPr>
              <w:t>,</w:t>
            </w:r>
            <w:r w:rsidRPr="00A80907">
              <w:rPr>
                <w:sz w:val="22"/>
              </w:rPr>
              <w:t>740</w:t>
            </w:r>
          </w:p>
        </w:tc>
        <w:tc>
          <w:tcPr>
            <w:tcW w:w="829" w:type="pct"/>
            <w:tcBorders>
              <w:top w:val="nil"/>
              <w:left w:val="nil"/>
              <w:bottom w:val="nil"/>
              <w:right w:val="nil"/>
            </w:tcBorders>
            <w:vAlign w:val="bottom"/>
          </w:tcPr>
          <w:p w:rsidR="00F84FB4" w:rsidRPr="00860106" w:rsidRDefault="00860106" w:rsidP="0086010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60106">
              <w:rPr>
                <w:sz w:val="22"/>
              </w:rPr>
              <w:t>42</w:t>
            </w:r>
            <w:r w:rsidR="00F84FB4" w:rsidRPr="00860106">
              <w:rPr>
                <w:sz w:val="22"/>
              </w:rPr>
              <w:t>,</w:t>
            </w:r>
            <w:r w:rsidRPr="00860106">
              <w:rPr>
                <w:sz w:val="22"/>
              </w:rPr>
              <w:t>692</w:t>
            </w: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3C3ACB">
            <w:pPr>
              <w:widowControl/>
              <w:suppressAutoHyphens/>
              <w:ind w:left="400" w:hanging="200"/>
              <w:rPr>
                <w:sz w:val="22"/>
              </w:rPr>
            </w:pPr>
            <w:r w:rsidRPr="00AC3313">
              <w:rPr>
                <w:sz w:val="22"/>
              </w:rPr>
              <w:t>Deferred income taxes</w:t>
            </w:r>
            <w:r w:rsidR="00BC4AB6">
              <w:rPr>
                <w:sz w:val="22"/>
              </w:rPr>
              <w:t>, net</w:t>
            </w:r>
            <w:r w:rsidRPr="00AC3313">
              <w:rPr>
                <w:sz w:val="22"/>
              </w:rPr>
              <w:tab/>
            </w:r>
          </w:p>
        </w:tc>
        <w:tc>
          <w:tcPr>
            <w:tcW w:w="895" w:type="pct"/>
            <w:tcBorders>
              <w:top w:val="nil"/>
              <w:left w:val="nil"/>
              <w:bottom w:val="nil"/>
              <w:right w:val="nil"/>
            </w:tcBorders>
            <w:vAlign w:val="bottom"/>
          </w:tcPr>
          <w:p w:rsidR="00F84FB4" w:rsidRPr="00A80907" w:rsidRDefault="00A80907" w:rsidP="00A8090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A80907">
              <w:rPr>
                <w:sz w:val="22"/>
              </w:rPr>
              <w:t>104,713</w:t>
            </w:r>
          </w:p>
        </w:tc>
        <w:tc>
          <w:tcPr>
            <w:tcW w:w="829" w:type="pct"/>
            <w:tcBorders>
              <w:top w:val="nil"/>
              <w:left w:val="nil"/>
              <w:bottom w:val="nil"/>
              <w:right w:val="nil"/>
            </w:tcBorders>
            <w:vAlign w:val="bottom"/>
          </w:tcPr>
          <w:p w:rsidR="00F84FB4" w:rsidRPr="00860106" w:rsidRDefault="00860106" w:rsidP="0086010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60106">
              <w:rPr>
                <w:sz w:val="22"/>
              </w:rPr>
              <w:t>99</w:t>
            </w:r>
            <w:r w:rsidR="00F84FB4" w:rsidRPr="00860106">
              <w:rPr>
                <w:sz w:val="22"/>
              </w:rPr>
              <w:t>,</w:t>
            </w:r>
            <w:r w:rsidRPr="00860106">
              <w:rPr>
                <w:sz w:val="22"/>
              </w:rPr>
              <w:t>331</w:t>
            </w: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400" w:hanging="200"/>
              <w:rPr>
                <w:sz w:val="22"/>
              </w:rPr>
            </w:pPr>
            <w:r w:rsidRPr="00AC3313">
              <w:rPr>
                <w:sz w:val="22"/>
              </w:rPr>
              <w:t>Debt and capital lease obligations:</w:t>
            </w:r>
          </w:p>
        </w:tc>
        <w:tc>
          <w:tcPr>
            <w:tcW w:w="895" w:type="pct"/>
            <w:tcBorders>
              <w:top w:val="nil"/>
              <w:left w:val="nil"/>
              <w:bottom w:val="nil"/>
              <w:right w:val="nil"/>
            </w:tcBorders>
            <w:vAlign w:val="bottom"/>
          </w:tcPr>
          <w:p w:rsidR="00F84FB4" w:rsidRPr="00A80907" w:rsidRDefault="00F84FB4" w:rsidP="001152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829" w:type="pct"/>
            <w:tcBorders>
              <w:top w:val="nil"/>
              <w:left w:val="nil"/>
              <w:bottom w:val="nil"/>
              <w:right w:val="nil"/>
            </w:tcBorders>
            <w:vAlign w:val="bottom"/>
          </w:tcPr>
          <w:p w:rsidR="00F84FB4" w:rsidRPr="00860106" w:rsidRDefault="00F84FB4" w:rsidP="00E552F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3C3ACB">
            <w:pPr>
              <w:widowControl/>
              <w:suppressAutoHyphens/>
              <w:ind w:left="600" w:hanging="200"/>
              <w:rPr>
                <w:sz w:val="22"/>
              </w:rPr>
            </w:pPr>
            <w:r w:rsidRPr="00AC3313">
              <w:rPr>
                <w:sz w:val="22"/>
              </w:rPr>
              <w:t>Due within one year</w:t>
            </w:r>
            <w:r w:rsidRPr="00AC3313">
              <w:rPr>
                <w:sz w:val="22"/>
              </w:rPr>
              <w:tab/>
            </w:r>
          </w:p>
        </w:tc>
        <w:tc>
          <w:tcPr>
            <w:tcW w:w="895" w:type="pct"/>
            <w:tcBorders>
              <w:top w:val="nil"/>
              <w:left w:val="nil"/>
              <w:bottom w:val="nil"/>
              <w:right w:val="nil"/>
            </w:tcBorders>
            <w:vAlign w:val="bottom"/>
          </w:tcPr>
          <w:p w:rsidR="00F84FB4" w:rsidRPr="00A80907" w:rsidRDefault="001600AC" w:rsidP="001600A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37</w:t>
            </w:r>
            <w:r w:rsidR="00F84FB4" w:rsidRPr="00A80907">
              <w:rPr>
                <w:sz w:val="22"/>
              </w:rPr>
              <w:t>,</w:t>
            </w:r>
            <w:r>
              <w:rPr>
                <w:sz w:val="22"/>
              </w:rPr>
              <w:t>743</w:t>
            </w:r>
          </w:p>
        </w:tc>
        <w:tc>
          <w:tcPr>
            <w:tcW w:w="829" w:type="pct"/>
            <w:tcBorders>
              <w:top w:val="nil"/>
              <w:left w:val="nil"/>
              <w:bottom w:val="nil"/>
              <w:right w:val="nil"/>
            </w:tcBorders>
            <w:vAlign w:val="bottom"/>
          </w:tcPr>
          <w:p w:rsidR="00F84FB4" w:rsidRPr="00860106" w:rsidRDefault="00860106" w:rsidP="0086010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60106">
              <w:rPr>
                <w:sz w:val="22"/>
              </w:rPr>
              <w:t>34</w:t>
            </w:r>
            <w:r w:rsidR="00F84FB4" w:rsidRPr="00860106">
              <w:rPr>
                <w:sz w:val="22"/>
              </w:rPr>
              <w:t>,</w:t>
            </w:r>
            <w:r w:rsidRPr="00860106">
              <w:rPr>
                <w:sz w:val="22"/>
              </w:rPr>
              <w:t>029</w:t>
            </w: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3C3ACB">
            <w:pPr>
              <w:widowControl/>
              <w:suppressAutoHyphens/>
              <w:spacing w:after="20"/>
              <w:ind w:left="600" w:hanging="200"/>
              <w:rPr>
                <w:sz w:val="22"/>
              </w:rPr>
            </w:pPr>
            <w:r w:rsidRPr="00AC3313">
              <w:rPr>
                <w:sz w:val="22"/>
              </w:rPr>
              <w:t>Due after one year</w:t>
            </w:r>
            <w:r w:rsidRPr="00AC3313">
              <w:rPr>
                <w:sz w:val="22"/>
              </w:rPr>
              <w:tab/>
            </w:r>
          </w:p>
        </w:tc>
        <w:tc>
          <w:tcPr>
            <w:tcW w:w="895" w:type="pct"/>
            <w:tcBorders>
              <w:top w:val="nil"/>
              <w:left w:val="nil"/>
              <w:bottom w:val="nil"/>
              <w:right w:val="nil"/>
            </w:tcBorders>
            <w:vAlign w:val="bottom"/>
          </w:tcPr>
          <w:p w:rsidR="00F84FB4" w:rsidRPr="00A80907" w:rsidRDefault="00F84FB4" w:rsidP="001600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A80907">
              <w:rPr>
                <w:sz w:val="22"/>
              </w:rPr>
              <w:t>1,</w:t>
            </w:r>
            <w:r w:rsidR="000B4F59" w:rsidRPr="00A80907">
              <w:rPr>
                <w:sz w:val="22"/>
              </w:rPr>
              <w:t>1</w:t>
            </w:r>
            <w:r w:rsidR="001600AC">
              <w:rPr>
                <w:sz w:val="22"/>
              </w:rPr>
              <w:t>07</w:t>
            </w:r>
            <w:r w:rsidRPr="00A80907">
              <w:rPr>
                <w:sz w:val="22"/>
              </w:rPr>
              <w:t>,</w:t>
            </w:r>
            <w:r w:rsidR="001600AC">
              <w:rPr>
                <w:sz w:val="22"/>
              </w:rPr>
              <w:t>728</w:t>
            </w:r>
          </w:p>
        </w:tc>
        <w:tc>
          <w:tcPr>
            <w:tcW w:w="829" w:type="pct"/>
            <w:tcBorders>
              <w:top w:val="nil"/>
              <w:left w:val="nil"/>
              <w:bottom w:val="nil"/>
              <w:right w:val="nil"/>
            </w:tcBorders>
            <w:vAlign w:val="bottom"/>
          </w:tcPr>
          <w:p w:rsidR="00F84FB4" w:rsidRPr="00860106" w:rsidRDefault="00F84FB4" w:rsidP="0086010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860106">
              <w:rPr>
                <w:sz w:val="22"/>
              </w:rPr>
              <w:t>1,</w:t>
            </w:r>
            <w:r w:rsidR="00860106" w:rsidRPr="00860106">
              <w:rPr>
                <w:sz w:val="22"/>
              </w:rPr>
              <w:t>130</w:t>
            </w:r>
            <w:r w:rsidRPr="00860106">
              <w:rPr>
                <w:sz w:val="22"/>
              </w:rPr>
              <w:t>,</w:t>
            </w:r>
            <w:r w:rsidR="00860106" w:rsidRPr="00860106">
              <w:rPr>
                <w:sz w:val="22"/>
              </w:rPr>
              <w:t>108</w:t>
            </w: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3C3ACB">
            <w:pPr>
              <w:widowControl/>
              <w:suppressAutoHyphens/>
              <w:spacing w:after="20"/>
              <w:ind w:left="200" w:hanging="200"/>
              <w:rPr>
                <w:sz w:val="22"/>
              </w:rPr>
            </w:pPr>
            <w:r w:rsidRPr="00AC3313">
              <w:rPr>
                <w:sz w:val="22"/>
              </w:rPr>
              <w:t>Total debt and capital lease obligations</w:t>
            </w:r>
            <w:r w:rsidRPr="00AC3313">
              <w:rPr>
                <w:sz w:val="22"/>
              </w:rPr>
              <w:tab/>
            </w:r>
          </w:p>
        </w:tc>
        <w:tc>
          <w:tcPr>
            <w:tcW w:w="895" w:type="pct"/>
            <w:tcBorders>
              <w:top w:val="nil"/>
              <w:left w:val="nil"/>
              <w:bottom w:val="nil"/>
              <w:right w:val="nil"/>
            </w:tcBorders>
            <w:vAlign w:val="bottom"/>
          </w:tcPr>
          <w:p w:rsidR="00F84FB4" w:rsidRPr="00A80907" w:rsidRDefault="00F84FB4" w:rsidP="00A8090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A80907">
              <w:rPr>
                <w:sz w:val="22"/>
              </w:rPr>
              <w:t>1,1</w:t>
            </w:r>
            <w:r w:rsidR="00A80907" w:rsidRPr="00A80907">
              <w:rPr>
                <w:sz w:val="22"/>
              </w:rPr>
              <w:t>45</w:t>
            </w:r>
            <w:r w:rsidRPr="00A80907">
              <w:rPr>
                <w:sz w:val="22"/>
              </w:rPr>
              <w:t>,</w:t>
            </w:r>
            <w:r w:rsidR="00A80907" w:rsidRPr="00A80907">
              <w:rPr>
                <w:sz w:val="22"/>
              </w:rPr>
              <w:t>471</w:t>
            </w:r>
          </w:p>
        </w:tc>
        <w:tc>
          <w:tcPr>
            <w:tcW w:w="829" w:type="pct"/>
            <w:tcBorders>
              <w:top w:val="nil"/>
              <w:left w:val="nil"/>
              <w:bottom w:val="nil"/>
              <w:right w:val="nil"/>
            </w:tcBorders>
            <w:vAlign w:val="bottom"/>
          </w:tcPr>
          <w:p w:rsidR="00F84FB4" w:rsidRPr="00860106" w:rsidRDefault="00F84FB4" w:rsidP="0086010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860106">
              <w:rPr>
                <w:sz w:val="22"/>
              </w:rPr>
              <w:t>1,1</w:t>
            </w:r>
            <w:r w:rsidR="00860106" w:rsidRPr="00860106">
              <w:rPr>
                <w:sz w:val="22"/>
              </w:rPr>
              <w:t>64</w:t>
            </w:r>
            <w:r w:rsidRPr="00860106">
              <w:rPr>
                <w:sz w:val="22"/>
              </w:rPr>
              <w:t>,</w:t>
            </w:r>
            <w:r w:rsidR="00860106" w:rsidRPr="00860106">
              <w:rPr>
                <w:sz w:val="22"/>
              </w:rPr>
              <w:t>137</w:t>
            </w: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3C3ACB">
            <w:pPr>
              <w:widowControl/>
              <w:suppressAutoHyphens/>
              <w:spacing w:after="20"/>
              <w:ind w:left="200" w:hanging="200"/>
              <w:rPr>
                <w:sz w:val="22"/>
              </w:rPr>
            </w:pPr>
            <w:r w:rsidRPr="00AC3313">
              <w:rPr>
                <w:sz w:val="22"/>
              </w:rPr>
              <w:t>Total liabilities</w:t>
            </w:r>
            <w:r w:rsidRPr="00AC3313">
              <w:rPr>
                <w:sz w:val="22"/>
              </w:rPr>
              <w:tab/>
            </w:r>
          </w:p>
        </w:tc>
        <w:tc>
          <w:tcPr>
            <w:tcW w:w="895" w:type="pct"/>
            <w:tcBorders>
              <w:top w:val="nil"/>
              <w:left w:val="nil"/>
              <w:bottom w:val="nil"/>
              <w:right w:val="nil"/>
            </w:tcBorders>
            <w:vAlign w:val="bottom"/>
          </w:tcPr>
          <w:p w:rsidR="00F84FB4" w:rsidRPr="00A80907" w:rsidRDefault="00F84FB4" w:rsidP="00A8090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A80907">
              <w:rPr>
                <w:sz w:val="22"/>
              </w:rPr>
              <w:t>1,</w:t>
            </w:r>
            <w:r w:rsidR="00A80907" w:rsidRPr="00A80907">
              <w:rPr>
                <w:sz w:val="22"/>
              </w:rPr>
              <w:t>297</w:t>
            </w:r>
            <w:r w:rsidR="000E222A" w:rsidRPr="00A80907">
              <w:rPr>
                <w:sz w:val="22"/>
              </w:rPr>
              <w:t>,</w:t>
            </w:r>
            <w:r w:rsidR="00A80907" w:rsidRPr="00A80907">
              <w:rPr>
                <w:sz w:val="22"/>
              </w:rPr>
              <w:t>070</w:t>
            </w:r>
          </w:p>
        </w:tc>
        <w:tc>
          <w:tcPr>
            <w:tcW w:w="829" w:type="pct"/>
            <w:tcBorders>
              <w:top w:val="nil"/>
              <w:left w:val="nil"/>
              <w:bottom w:val="nil"/>
              <w:right w:val="nil"/>
            </w:tcBorders>
            <w:vAlign w:val="bottom"/>
          </w:tcPr>
          <w:p w:rsidR="00F84FB4" w:rsidRPr="00860106" w:rsidRDefault="00F84FB4" w:rsidP="0086010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860106">
              <w:rPr>
                <w:sz w:val="22"/>
              </w:rPr>
              <w:t>1,</w:t>
            </w:r>
            <w:r w:rsidR="00860106" w:rsidRPr="00860106">
              <w:rPr>
                <w:sz w:val="22"/>
              </w:rPr>
              <w:t>318</w:t>
            </w:r>
            <w:r w:rsidRPr="00860106">
              <w:rPr>
                <w:sz w:val="22"/>
              </w:rPr>
              <w:t>,</w:t>
            </w:r>
            <w:r w:rsidR="00860106" w:rsidRPr="00860106">
              <w:rPr>
                <w:sz w:val="22"/>
              </w:rPr>
              <w:t>252</w:t>
            </w: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3C3ACB">
            <w:pPr>
              <w:widowControl/>
              <w:suppressAutoHyphens/>
              <w:ind w:left="200" w:hanging="200"/>
              <w:rPr>
                <w:sz w:val="22"/>
              </w:rPr>
            </w:pPr>
          </w:p>
        </w:tc>
        <w:tc>
          <w:tcPr>
            <w:tcW w:w="895" w:type="pct"/>
            <w:tcBorders>
              <w:top w:val="nil"/>
              <w:left w:val="nil"/>
              <w:bottom w:val="nil"/>
              <w:right w:val="nil"/>
            </w:tcBorders>
            <w:vAlign w:val="bottom"/>
          </w:tcPr>
          <w:p w:rsidR="00F84FB4" w:rsidRPr="00A80907" w:rsidRDefault="00F84FB4" w:rsidP="001152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829" w:type="pct"/>
            <w:tcBorders>
              <w:top w:val="nil"/>
              <w:left w:val="nil"/>
              <w:bottom w:val="nil"/>
              <w:right w:val="nil"/>
            </w:tcBorders>
            <w:vAlign w:val="bottom"/>
          </w:tcPr>
          <w:p w:rsidR="00F84FB4" w:rsidRPr="00860106" w:rsidRDefault="00F84FB4" w:rsidP="00E552F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BC4AB6">
            <w:pPr>
              <w:widowControl/>
              <w:suppressAutoHyphens/>
              <w:ind w:left="200" w:hanging="200"/>
              <w:rPr>
                <w:sz w:val="22"/>
              </w:rPr>
            </w:pPr>
            <w:r w:rsidRPr="00AC3313">
              <w:rPr>
                <w:sz w:val="22"/>
              </w:rPr>
              <w:t>Commitment</w:t>
            </w:r>
            <w:r w:rsidR="00E25893" w:rsidRPr="00AC3313">
              <w:rPr>
                <w:sz w:val="22"/>
              </w:rPr>
              <w:t>s</w:t>
            </w:r>
            <w:r w:rsidRPr="00AC3313">
              <w:rPr>
                <w:sz w:val="22"/>
              </w:rPr>
              <w:t xml:space="preserve"> and contingencies </w:t>
            </w:r>
            <w:r w:rsidRPr="00AC3313">
              <w:rPr>
                <w:i/>
                <w:iCs/>
                <w:sz w:val="22"/>
              </w:rPr>
              <w:t>(Note </w:t>
            </w:r>
            <w:r w:rsidR="00BC4AB6">
              <w:rPr>
                <w:i/>
                <w:iCs/>
                <w:sz w:val="22"/>
              </w:rPr>
              <w:t>7</w:t>
            </w:r>
            <w:r w:rsidRPr="00AC3313">
              <w:rPr>
                <w:i/>
                <w:iCs/>
                <w:sz w:val="22"/>
              </w:rPr>
              <w:t>)</w:t>
            </w:r>
            <w:r w:rsidRPr="00AC3313">
              <w:rPr>
                <w:sz w:val="22"/>
              </w:rPr>
              <w:tab/>
            </w:r>
          </w:p>
        </w:tc>
        <w:tc>
          <w:tcPr>
            <w:tcW w:w="895" w:type="pct"/>
            <w:tcBorders>
              <w:top w:val="nil"/>
              <w:left w:val="nil"/>
              <w:bottom w:val="nil"/>
              <w:right w:val="nil"/>
            </w:tcBorders>
            <w:vAlign w:val="bottom"/>
          </w:tcPr>
          <w:p w:rsidR="00F84FB4" w:rsidRPr="00A80907" w:rsidRDefault="00F84FB4" w:rsidP="001152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A80907">
              <w:rPr>
                <w:sz w:val="22"/>
              </w:rPr>
              <w:t>—</w:t>
            </w:r>
          </w:p>
        </w:tc>
        <w:tc>
          <w:tcPr>
            <w:tcW w:w="829" w:type="pct"/>
            <w:tcBorders>
              <w:top w:val="nil"/>
              <w:left w:val="nil"/>
              <w:bottom w:val="nil"/>
              <w:right w:val="nil"/>
            </w:tcBorders>
            <w:vAlign w:val="bottom"/>
          </w:tcPr>
          <w:p w:rsidR="00F84FB4" w:rsidRPr="00860106" w:rsidRDefault="00F84FB4" w:rsidP="00E552F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60106">
              <w:rPr>
                <w:sz w:val="22"/>
              </w:rPr>
              <w:t>—</w:t>
            </w: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22"/>
              </w:rPr>
            </w:pPr>
          </w:p>
        </w:tc>
        <w:tc>
          <w:tcPr>
            <w:tcW w:w="895" w:type="pct"/>
            <w:tcBorders>
              <w:top w:val="nil"/>
              <w:left w:val="nil"/>
              <w:bottom w:val="nil"/>
              <w:right w:val="nil"/>
            </w:tcBorders>
            <w:vAlign w:val="bottom"/>
          </w:tcPr>
          <w:p w:rsidR="00F84FB4" w:rsidRPr="0053635E" w:rsidRDefault="00F84FB4" w:rsidP="001152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829" w:type="pct"/>
            <w:tcBorders>
              <w:top w:val="nil"/>
              <w:left w:val="nil"/>
              <w:bottom w:val="nil"/>
              <w:right w:val="nil"/>
            </w:tcBorders>
            <w:vAlign w:val="bottom"/>
          </w:tcPr>
          <w:p w:rsidR="00F84FB4" w:rsidRPr="0053635E" w:rsidRDefault="00F84FB4" w:rsidP="00E552F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FE258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22"/>
              </w:rPr>
            </w:pPr>
            <w:r w:rsidRPr="00AC3313">
              <w:rPr>
                <w:sz w:val="22"/>
              </w:rPr>
              <w:t>Member’s interest</w:t>
            </w:r>
          </w:p>
        </w:tc>
        <w:tc>
          <w:tcPr>
            <w:tcW w:w="895" w:type="pct"/>
            <w:tcBorders>
              <w:top w:val="nil"/>
              <w:left w:val="nil"/>
              <w:bottom w:val="nil"/>
              <w:right w:val="nil"/>
            </w:tcBorders>
            <w:vAlign w:val="bottom"/>
          </w:tcPr>
          <w:p w:rsidR="00F84FB4" w:rsidRPr="0053635E" w:rsidRDefault="00F84FB4" w:rsidP="001152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829" w:type="pct"/>
            <w:tcBorders>
              <w:top w:val="nil"/>
              <w:left w:val="nil"/>
              <w:bottom w:val="nil"/>
              <w:right w:val="nil"/>
            </w:tcBorders>
            <w:vAlign w:val="bottom"/>
          </w:tcPr>
          <w:p w:rsidR="00F84FB4" w:rsidRPr="0053635E" w:rsidRDefault="00F84FB4" w:rsidP="00E552F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3C3ACB">
            <w:pPr>
              <w:widowControl/>
              <w:suppressAutoHyphens/>
              <w:ind w:left="400" w:hanging="200"/>
              <w:rPr>
                <w:sz w:val="22"/>
              </w:rPr>
            </w:pPr>
            <w:r w:rsidRPr="00AC3313">
              <w:rPr>
                <w:sz w:val="22"/>
              </w:rPr>
              <w:t>Member’s interest</w:t>
            </w:r>
            <w:r w:rsidRPr="00AC3313">
              <w:rPr>
                <w:sz w:val="22"/>
              </w:rPr>
              <w:tab/>
            </w:r>
          </w:p>
        </w:tc>
        <w:tc>
          <w:tcPr>
            <w:tcW w:w="895" w:type="pct"/>
            <w:tcBorders>
              <w:top w:val="nil"/>
              <w:left w:val="nil"/>
              <w:bottom w:val="nil"/>
              <w:right w:val="nil"/>
            </w:tcBorders>
            <w:vAlign w:val="bottom"/>
          </w:tcPr>
          <w:p w:rsidR="00F84FB4" w:rsidRPr="00A80907" w:rsidRDefault="000E222A" w:rsidP="00A8090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A80907">
              <w:rPr>
                <w:sz w:val="22"/>
              </w:rPr>
              <w:t>5</w:t>
            </w:r>
            <w:r w:rsidR="00A80907" w:rsidRPr="00A80907">
              <w:rPr>
                <w:sz w:val="22"/>
              </w:rPr>
              <w:t>67</w:t>
            </w:r>
            <w:r w:rsidRPr="00A80907">
              <w:rPr>
                <w:sz w:val="22"/>
              </w:rPr>
              <w:t>,</w:t>
            </w:r>
            <w:r w:rsidR="00A80907" w:rsidRPr="00A80907">
              <w:rPr>
                <w:sz w:val="22"/>
              </w:rPr>
              <w:t>116</w:t>
            </w:r>
          </w:p>
        </w:tc>
        <w:tc>
          <w:tcPr>
            <w:tcW w:w="829" w:type="pct"/>
            <w:tcBorders>
              <w:top w:val="nil"/>
              <w:left w:val="nil"/>
              <w:bottom w:val="nil"/>
              <w:right w:val="nil"/>
            </w:tcBorders>
            <w:vAlign w:val="bottom"/>
          </w:tcPr>
          <w:p w:rsidR="00F84FB4" w:rsidRPr="007519E7" w:rsidRDefault="00F84FB4" w:rsidP="007519E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7519E7">
              <w:rPr>
                <w:sz w:val="22"/>
              </w:rPr>
              <w:t>5</w:t>
            </w:r>
            <w:r w:rsidR="007519E7" w:rsidRPr="007519E7">
              <w:rPr>
                <w:sz w:val="22"/>
              </w:rPr>
              <w:t>62</w:t>
            </w:r>
            <w:r w:rsidRPr="007519E7">
              <w:rPr>
                <w:sz w:val="22"/>
              </w:rPr>
              <w:t>,</w:t>
            </w:r>
            <w:r w:rsidR="007519E7" w:rsidRPr="007519E7">
              <w:rPr>
                <w:sz w:val="22"/>
              </w:rPr>
              <w:t>006</w:t>
            </w: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3C3ACB">
            <w:pPr>
              <w:widowControl/>
              <w:suppressAutoHyphens/>
              <w:spacing w:after="20"/>
              <w:ind w:left="400" w:hanging="200"/>
              <w:rPr>
                <w:sz w:val="22"/>
              </w:rPr>
            </w:pPr>
            <w:r w:rsidRPr="00AC3313">
              <w:rPr>
                <w:sz w:val="22"/>
              </w:rPr>
              <w:t>Accumulated other comprehensive loss</w:t>
            </w:r>
            <w:r w:rsidRPr="00AC3313">
              <w:rPr>
                <w:sz w:val="22"/>
              </w:rPr>
              <w:tab/>
            </w:r>
          </w:p>
        </w:tc>
        <w:tc>
          <w:tcPr>
            <w:tcW w:w="895" w:type="pct"/>
            <w:tcBorders>
              <w:top w:val="nil"/>
              <w:left w:val="nil"/>
              <w:bottom w:val="nil"/>
              <w:right w:val="nil"/>
            </w:tcBorders>
            <w:vAlign w:val="bottom"/>
          </w:tcPr>
          <w:p w:rsidR="00F84FB4" w:rsidRPr="00A80907" w:rsidRDefault="00F84FB4" w:rsidP="00A8090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A80907">
              <w:rPr>
                <w:sz w:val="22"/>
              </w:rPr>
              <w:t>(</w:t>
            </w:r>
            <w:r w:rsidR="00A80907" w:rsidRPr="00A80907">
              <w:rPr>
                <w:sz w:val="22"/>
              </w:rPr>
              <w:t>35</w:t>
            </w:r>
            <w:r w:rsidRPr="00A80907">
              <w:rPr>
                <w:sz w:val="22"/>
              </w:rPr>
              <w:t>,</w:t>
            </w:r>
            <w:r w:rsidR="00A80907" w:rsidRPr="00A80907">
              <w:rPr>
                <w:sz w:val="22"/>
              </w:rPr>
              <w:t>899</w:t>
            </w:r>
            <w:r w:rsidRPr="00A80907">
              <w:rPr>
                <w:sz w:val="22"/>
              </w:rPr>
              <w:t>)</w:t>
            </w:r>
          </w:p>
        </w:tc>
        <w:tc>
          <w:tcPr>
            <w:tcW w:w="829" w:type="pct"/>
            <w:tcBorders>
              <w:top w:val="nil"/>
              <w:left w:val="nil"/>
              <w:bottom w:val="nil"/>
              <w:right w:val="nil"/>
            </w:tcBorders>
            <w:vAlign w:val="bottom"/>
          </w:tcPr>
          <w:p w:rsidR="00F84FB4" w:rsidRPr="007519E7" w:rsidRDefault="00F84FB4" w:rsidP="007519E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7519E7">
              <w:rPr>
                <w:sz w:val="22"/>
              </w:rPr>
              <w:t>(</w:t>
            </w:r>
            <w:r w:rsidR="007519E7" w:rsidRPr="007519E7">
              <w:rPr>
                <w:sz w:val="22"/>
              </w:rPr>
              <w:t>38</w:t>
            </w:r>
            <w:r w:rsidRPr="007519E7">
              <w:rPr>
                <w:sz w:val="22"/>
              </w:rPr>
              <w:t>,</w:t>
            </w:r>
            <w:r w:rsidR="007519E7" w:rsidRPr="007519E7">
              <w:rPr>
                <w:sz w:val="22"/>
              </w:rPr>
              <w:t>348</w:t>
            </w:r>
            <w:r w:rsidRPr="007519E7">
              <w:rPr>
                <w:sz w:val="22"/>
              </w:rPr>
              <w:t>)</w:t>
            </w:r>
          </w:p>
        </w:tc>
      </w:tr>
      <w:tr w:rsidR="00F84FB4" w:rsidRPr="0053635E" w:rsidTr="00664BD4">
        <w:trPr>
          <w:cantSplit/>
          <w:jc w:val="center"/>
        </w:trPr>
        <w:tc>
          <w:tcPr>
            <w:tcW w:w="3276" w:type="pct"/>
            <w:tcBorders>
              <w:top w:val="nil"/>
              <w:left w:val="nil"/>
              <w:bottom w:val="nil"/>
              <w:right w:val="nil"/>
            </w:tcBorders>
          </w:tcPr>
          <w:p w:rsidR="00F84FB4" w:rsidRPr="00AC3313" w:rsidRDefault="00F84FB4" w:rsidP="003C3ACB">
            <w:pPr>
              <w:widowControl/>
              <w:suppressAutoHyphens/>
              <w:spacing w:after="20"/>
              <w:ind w:left="200" w:hanging="200"/>
              <w:rPr>
                <w:sz w:val="22"/>
              </w:rPr>
            </w:pPr>
            <w:r w:rsidRPr="00AC3313">
              <w:rPr>
                <w:sz w:val="22"/>
              </w:rPr>
              <w:t>Total member’s interest</w:t>
            </w:r>
            <w:r w:rsidRPr="00AC3313">
              <w:rPr>
                <w:sz w:val="22"/>
              </w:rPr>
              <w:tab/>
            </w:r>
          </w:p>
        </w:tc>
        <w:tc>
          <w:tcPr>
            <w:tcW w:w="895" w:type="pct"/>
            <w:tcBorders>
              <w:top w:val="nil"/>
              <w:left w:val="nil"/>
              <w:bottom w:val="nil"/>
              <w:right w:val="nil"/>
            </w:tcBorders>
            <w:vAlign w:val="bottom"/>
          </w:tcPr>
          <w:p w:rsidR="00F84FB4" w:rsidRPr="00A80907" w:rsidRDefault="000E222A" w:rsidP="00A8090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A80907">
              <w:rPr>
                <w:sz w:val="22"/>
              </w:rPr>
              <w:t>5</w:t>
            </w:r>
            <w:r w:rsidR="00A80907" w:rsidRPr="00A80907">
              <w:rPr>
                <w:sz w:val="22"/>
              </w:rPr>
              <w:t>3</w:t>
            </w:r>
            <w:r w:rsidRPr="00A80907">
              <w:rPr>
                <w:sz w:val="22"/>
              </w:rPr>
              <w:t>1,</w:t>
            </w:r>
            <w:r w:rsidR="00A80907" w:rsidRPr="00A80907">
              <w:rPr>
                <w:sz w:val="22"/>
              </w:rPr>
              <w:t>217</w:t>
            </w:r>
          </w:p>
        </w:tc>
        <w:tc>
          <w:tcPr>
            <w:tcW w:w="829" w:type="pct"/>
            <w:tcBorders>
              <w:top w:val="nil"/>
              <w:left w:val="nil"/>
              <w:bottom w:val="nil"/>
              <w:right w:val="nil"/>
            </w:tcBorders>
            <w:vAlign w:val="bottom"/>
          </w:tcPr>
          <w:p w:rsidR="00F84FB4" w:rsidRPr="007519E7" w:rsidRDefault="00F84FB4" w:rsidP="007519E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7519E7">
              <w:rPr>
                <w:sz w:val="22"/>
              </w:rPr>
              <w:t>5</w:t>
            </w:r>
            <w:r w:rsidR="007519E7" w:rsidRPr="007519E7">
              <w:rPr>
                <w:sz w:val="22"/>
              </w:rPr>
              <w:t>23</w:t>
            </w:r>
            <w:r w:rsidRPr="007519E7">
              <w:rPr>
                <w:sz w:val="22"/>
              </w:rPr>
              <w:t>,</w:t>
            </w:r>
            <w:r w:rsidR="007519E7" w:rsidRPr="007519E7">
              <w:rPr>
                <w:sz w:val="22"/>
              </w:rPr>
              <w:t>658</w:t>
            </w:r>
          </w:p>
        </w:tc>
      </w:tr>
      <w:tr w:rsidR="00F84FB4" w:rsidRPr="0053635E" w:rsidTr="00664BD4">
        <w:trPr>
          <w:cantSplit/>
          <w:jc w:val="center"/>
        </w:trPr>
        <w:tc>
          <w:tcPr>
            <w:tcW w:w="3276" w:type="pct"/>
            <w:tcBorders>
              <w:top w:val="nil"/>
              <w:left w:val="nil"/>
              <w:bottom w:val="nil"/>
              <w:right w:val="nil"/>
            </w:tcBorders>
          </w:tcPr>
          <w:p w:rsidR="00F84FB4" w:rsidRPr="008F6C43" w:rsidRDefault="00F84FB4" w:rsidP="003C3ACB">
            <w:pPr>
              <w:widowControl/>
              <w:suppressAutoHyphens/>
              <w:spacing w:after="40"/>
              <w:ind w:left="200" w:hanging="200"/>
              <w:rPr>
                <w:b/>
                <w:sz w:val="22"/>
              </w:rPr>
            </w:pPr>
            <w:r w:rsidRPr="008F6C43">
              <w:rPr>
                <w:b/>
                <w:sz w:val="22"/>
              </w:rPr>
              <w:t>Total liabilities and member’s interest</w:t>
            </w:r>
            <w:r w:rsidRPr="008F6C43">
              <w:rPr>
                <w:b/>
                <w:sz w:val="22"/>
              </w:rPr>
              <w:tab/>
            </w:r>
          </w:p>
        </w:tc>
        <w:tc>
          <w:tcPr>
            <w:tcW w:w="895" w:type="pct"/>
            <w:tcBorders>
              <w:top w:val="nil"/>
              <w:left w:val="nil"/>
              <w:bottom w:val="nil"/>
              <w:right w:val="nil"/>
            </w:tcBorders>
            <w:vAlign w:val="bottom"/>
          </w:tcPr>
          <w:p w:rsidR="00F84FB4" w:rsidRPr="00A80907" w:rsidRDefault="00F84FB4" w:rsidP="00A80907">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A80907">
              <w:rPr>
                <w:sz w:val="22"/>
              </w:rPr>
              <w:t>$          1,</w:t>
            </w:r>
            <w:r w:rsidR="00605283" w:rsidRPr="00A80907">
              <w:rPr>
                <w:sz w:val="22"/>
              </w:rPr>
              <w:t>8</w:t>
            </w:r>
            <w:r w:rsidR="00A80907" w:rsidRPr="00A80907">
              <w:rPr>
                <w:sz w:val="22"/>
              </w:rPr>
              <w:t>28</w:t>
            </w:r>
            <w:r w:rsidRPr="00A80907">
              <w:rPr>
                <w:sz w:val="22"/>
              </w:rPr>
              <w:t>,</w:t>
            </w:r>
            <w:r w:rsidR="00A80907" w:rsidRPr="00A80907">
              <w:rPr>
                <w:sz w:val="22"/>
              </w:rPr>
              <w:t>287</w:t>
            </w:r>
          </w:p>
        </w:tc>
        <w:tc>
          <w:tcPr>
            <w:tcW w:w="829" w:type="pct"/>
            <w:tcBorders>
              <w:top w:val="nil"/>
              <w:left w:val="nil"/>
              <w:bottom w:val="nil"/>
              <w:right w:val="nil"/>
            </w:tcBorders>
            <w:vAlign w:val="bottom"/>
          </w:tcPr>
          <w:p w:rsidR="00F84FB4" w:rsidRPr="007519E7" w:rsidRDefault="00F84FB4" w:rsidP="007519E7">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7519E7">
              <w:rPr>
                <w:sz w:val="22"/>
              </w:rPr>
              <w:t xml:space="preserve">$  </w:t>
            </w:r>
            <w:r w:rsidR="00E72907" w:rsidRPr="007519E7">
              <w:rPr>
                <w:sz w:val="22"/>
              </w:rPr>
              <w:t xml:space="preserve">  </w:t>
            </w:r>
            <w:r w:rsidRPr="007519E7">
              <w:rPr>
                <w:sz w:val="22"/>
              </w:rPr>
              <w:t xml:space="preserve">    1,</w:t>
            </w:r>
            <w:r w:rsidR="007519E7" w:rsidRPr="007519E7">
              <w:rPr>
                <w:sz w:val="22"/>
              </w:rPr>
              <w:t>841</w:t>
            </w:r>
            <w:r w:rsidRPr="007519E7">
              <w:rPr>
                <w:sz w:val="22"/>
              </w:rPr>
              <w:t>,</w:t>
            </w:r>
            <w:r w:rsidR="007519E7" w:rsidRPr="007519E7">
              <w:rPr>
                <w:sz w:val="22"/>
              </w:rPr>
              <w:t>910</w:t>
            </w:r>
          </w:p>
        </w:tc>
      </w:tr>
    </w:tbl>
    <w:p w:rsidR="00CA14BE" w:rsidRPr="00AC3313" w:rsidRDefault="00CA14BE" w:rsidP="00744A72">
      <w:pPr>
        <w:widowControl/>
        <w:tabs>
          <w:tab w:val="center" w:pos="5400"/>
        </w:tabs>
        <w:suppressAutoHyphens/>
        <w:spacing w:before="240" w:after="240"/>
        <w:jc w:val="center"/>
        <w:rPr>
          <w:sz w:val="22"/>
        </w:rPr>
      </w:pPr>
      <w:r w:rsidRPr="00AC3313">
        <w:rPr>
          <w:sz w:val="22"/>
        </w:rPr>
        <w:t>See accompanying notes.</w:t>
      </w:r>
    </w:p>
    <w:p w:rsidR="00CA14BE" w:rsidRPr="007918C7" w:rsidRDefault="00744A72" w:rsidP="00744A72">
      <w:pPr>
        <w:widowControl/>
        <w:tabs>
          <w:tab w:val="center" w:pos="5400"/>
        </w:tabs>
        <w:suppressAutoHyphens/>
        <w:spacing w:after="240"/>
        <w:jc w:val="center"/>
        <w:rPr>
          <w:b/>
          <w:bCs/>
          <w:sz w:val="22"/>
        </w:rPr>
      </w:pPr>
      <w:r w:rsidRPr="0053635E">
        <w:rPr>
          <w:highlight w:val="yellow"/>
        </w:rPr>
        <w:br w:type="page"/>
      </w:r>
      <w:r w:rsidR="00CA14BE" w:rsidRPr="007918C7">
        <w:rPr>
          <w:b/>
          <w:bCs/>
          <w:sz w:val="22"/>
        </w:rPr>
        <w:lastRenderedPageBreak/>
        <w:t>TRAC Intermodal LLC and Subsidiaries</w:t>
      </w:r>
    </w:p>
    <w:p w:rsidR="00CA14BE" w:rsidRPr="007918C7" w:rsidRDefault="00CA14BE" w:rsidP="00744A72">
      <w:pPr>
        <w:widowControl/>
        <w:tabs>
          <w:tab w:val="center" w:pos="5400"/>
        </w:tabs>
        <w:suppressAutoHyphens/>
        <w:spacing w:after="240"/>
        <w:jc w:val="center"/>
        <w:rPr>
          <w:b/>
          <w:bCs/>
          <w:sz w:val="22"/>
        </w:rPr>
      </w:pPr>
      <w:r w:rsidRPr="007918C7">
        <w:rPr>
          <w:b/>
          <w:bCs/>
          <w:sz w:val="22"/>
        </w:rPr>
        <w:t>Consolidated Statements of Operations</w:t>
      </w:r>
    </w:p>
    <w:p w:rsidR="00315366" w:rsidRPr="007918C7" w:rsidRDefault="00315366" w:rsidP="00744A72">
      <w:pPr>
        <w:widowControl/>
        <w:tabs>
          <w:tab w:val="center" w:pos="5400"/>
        </w:tabs>
        <w:suppressAutoHyphens/>
        <w:spacing w:after="240"/>
        <w:jc w:val="center"/>
        <w:rPr>
          <w:b/>
          <w:bCs/>
          <w:sz w:val="22"/>
        </w:rPr>
      </w:pPr>
      <w:r w:rsidRPr="007918C7">
        <w:rPr>
          <w:b/>
          <w:bCs/>
          <w:sz w:val="22"/>
        </w:rPr>
        <w:t>(Unaudited)</w:t>
      </w:r>
    </w:p>
    <w:p w:rsidR="00744A72" w:rsidRPr="007918C7" w:rsidRDefault="00A31499" w:rsidP="00744A72">
      <w:pPr>
        <w:widowControl/>
        <w:tabs>
          <w:tab w:val="center" w:pos="5400"/>
        </w:tabs>
        <w:suppressAutoHyphens/>
        <w:spacing w:after="240"/>
        <w:jc w:val="center"/>
        <w:rPr>
          <w:b/>
          <w:bCs/>
          <w:sz w:val="22"/>
        </w:rPr>
      </w:pPr>
      <w:r w:rsidRPr="007918C7">
        <w:rPr>
          <w:b/>
          <w:bCs/>
          <w:sz w:val="22"/>
        </w:rPr>
        <w:t xml:space="preserve"> </w:t>
      </w:r>
      <w:r w:rsidR="00CA14BE" w:rsidRPr="007918C7">
        <w:rPr>
          <w:b/>
          <w:bCs/>
          <w:sz w:val="22"/>
        </w:rPr>
        <w:t>(Dollars in Thousands)</w:t>
      </w:r>
    </w:p>
    <w:p w:rsidR="00A31499" w:rsidRPr="007918C7" w:rsidRDefault="00A31499" w:rsidP="00744A72">
      <w:pPr>
        <w:widowControl/>
        <w:tabs>
          <w:tab w:val="center" w:pos="5400"/>
        </w:tabs>
        <w:suppressAutoHyphens/>
        <w:spacing w:after="240"/>
        <w:jc w:val="center"/>
        <w:rPr>
          <w:b/>
          <w:bCs/>
        </w:rPr>
      </w:pPr>
    </w:p>
    <w:tbl>
      <w:tblPr>
        <w:tblW w:w="4601" w:type="pct"/>
        <w:jc w:val="center"/>
        <w:tblLayout w:type="fixed"/>
        <w:tblCellMar>
          <w:left w:w="72" w:type="dxa"/>
          <w:right w:w="72" w:type="dxa"/>
        </w:tblCellMar>
        <w:tblLook w:val="0000" w:firstRow="0" w:lastRow="0" w:firstColumn="0" w:lastColumn="0" w:noHBand="0" w:noVBand="0"/>
      </w:tblPr>
      <w:tblGrid>
        <w:gridCol w:w="6538"/>
        <w:gridCol w:w="241"/>
        <w:gridCol w:w="1240"/>
        <w:gridCol w:w="1389"/>
      </w:tblGrid>
      <w:tr w:rsidR="007918C7" w:rsidRPr="0053635E" w:rsidTr="007918C7">
        <w:trPr>
          <w:cantSplit/>
          <w:jc w:val="center"/>
        </w:trPr>
        <w:tc>
          <w:tcPr>
            <w:tcW w:w="3475" w:type="pct"/>
            <w:tcBorders>
              <w:top w:val="nil"/>
              <w:left w:val="nil"/>
              <w:bottom w:val="nil"/>
              <w:right w:val="nil"/>
            </w:tcBorders>
          </w:tcPr>
          <w:p w:rsidR="007918C7" w:rsidRPr="0053635E"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22"/>
                <w:highlight w:val="yellow"/>
              </w:rPr>
            </w:pPr>
          </w:p>
        </w:tc>
        <w:tc>
          <w:tcPr>
            <w:tcW w:w="787" w:type="pct"/>
            <w:gridSpan w:val="2"/>
            <w:tcBorders>
              <w:top w:val="nil"/>
              <w:left w:val="nil"/>
              <w:bottom w:val="nil"/>
              <w:right w:val="nil"/>
            </w:tcBorders>
            <w:vAlign w:val="bottom"/>
          </w:tcPr>
          <w:p w:rsidR="007918C7" w:rsidRPr="0053635E"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785" w:type="pct"/>
            <w:tcBorders>
              <w:top w:val="nil"/>
              <w:left w:val="nil"/>
              <w:bottom w:val="nil"/>
              <w:right w:val="nil"/>
            </w:tcBorders>
            <w:vAlign w:val="bottom"/>
          </w:tcPr>
          <w:p w:rsidR="007918C7" w:rsidRPr="0053635E"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7918C7" w:rsidRPr="0053635E" w:rsidTr="007918C7">
        <w:trPr>
          <w:gridAfter w:val="2"/>
          <w:wAfter w:w="1397" w:type="pct"/>
          <w:cantSplit/>
          <w:jc w:val="center"/>
        </w:trPr>
        <w:tc>
          <w:tcPr>
            <w:tcW w:w="3603" w:type="pct"/>
            <w:gridSpan w:val="2"/>
            <w:tcBorders>
              <w:top w:val="nil"/>
              <w:left w:val="nil"/>
              <w:bottom w:val="nil"/>
              <w:right w:val="nil"/>
            </w:tcBorders>
          </w:tcPr>
          <w:p w:rsidR="007918C7" w:rsidRPr="0053635E"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22"/>
                <w:highlight w:val="yellow"/>
              </w:rPr>
            </w:pPr>
          </w:p>
        </w:tc>
      </w:tr>
      <w:tr w:rsidR="007918C7" w:rsidRPr="0053635E" w:rsidTr="007918C7">
        <w:trPr>
          <w:gridAfter w:val="2"/>
          <w:wAfter w:w="1397" w:type="pct"/>
          <w:cantSplit/>
          <w:jc w:val="center"/>
        </w:trPr>
        <w:tc>
          <w:tcPr>
            <w:tcW w:w="3603" w:type="pct"/>
            <w:gridSpan w:val="2"/>
            <w:tcBorders>
              <w:top w:val="nil"/>
              <w:left w:val="nil"/>
              <w:bottom w:val="nil"/>
              <w:right w:val="nil"/>
            </w:tcBorders>
          </w:tcPr>
          <w:p w:rsidR="007918C7" w:rsidRPr="0053635E"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22"/>
                <w:highlight w:val="yellow"/>
              </w:rPr>
            </w:pPr>
          </w:p>
        </w:tc>
      </w:tr>
      <w:tr w:rsidR="007918C7" w:rsidRPr="0053635E" w:rsidTr="007918C7">
        <w:trPr>
          <w:cantSplit/>
          <w:jc w:val="center"/>
        </w:trPr>
        <w:tc>
          <w:tcPr>
            <w:tcW w:w="3475" w:type="pct"/>
            <w:tcBorders>
              <w:top w:val="nil"/>
              <w:left w:val="nil"/>
              <w:bottom w:val="nil"/>
              <w:right w:val="nil"/>
            </w:tcBorders>
          </w:tcPr>
          <w:p w:rsidR="007918C7" w:rsidRPr="0053635E"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22"/>
                <w:highlight w:val="yellow"/>
              </w:rPr>
            </w:pPr>
          </w:p>
        </w:tc>
        <w:tc>
          <w:tcPr>
            <w:tcW w:w="785" w:type="pct"/>
            <w:gridSpan w:val="3"/>
            <w:tcBorders>
              <w:top w:val="nil"/>
              <w:left w:val="nil"/>
              <w:bottom w:val="nil"/>
              <w:right w:val="nil"/>
            </w:tcBorders>
            <w:vAlign w:val="bottom"/>
          </w:tcPr>
          <w:p w:rsidR="007918C7" w:rsidRPr="00D74178" w:rsidRDefault="007918C7" w:rsidP="00D80DC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D74178">
              <w:rPr>
                <w:b/>
                <w:bCs/>
                <w:sz w:val="22"/>
              </w:rPr>
              <w:t xml:space="preserve">Three Months </w:t>
            </w:r>
            <w:r w:rsidR="00C430F9">
              <w:rPr>
                <w:b/>
                <w:bCs/>
                <w:sz w:val="22"/>
              </w:rPr>
              <w:t xml:space="preserve">              </w:t>
            </w:r>
            <w:r w:rsidRPr="00D74178">
              <w:rPr>
                <w:b/>
                <w:bCs/>
                <w:sz w:val="22"/>
              </w:rPr>
              <w:t xml:space="preserve">Ended </w:t>
            </w:r>
            <w:r w:rsidR="00C430F9">
              <w:rPr>
                <w:b/>
                <w:bCs/>
                <w:sz w:val="22"/>
              </w:rPr>
              <w:t xml:space="preserve">                          </w:t>
            </w:r>
            <w:r w:rsidRPr="00D74178">
              <w:rPr>
                <w:b/>
                <w:bCs/>
                <w:sz w:val="22"/>
              </w:rPr>
              <w:t xml:space="preserve"> March 31,</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22"/>
              </w:rPr>
            </w:pPr>
          </w:p>
        </w:tc>
        <w:tc>
          <w:tcPr>
            <w:tcW w:w="787" w:type="pct"/>
            <w:gridSpan w:val="2"/>
            <w:tcBorders>
              <w:top w:val="nil"/>
              <w:left w:val="nil"/>
              <w:bottom w:val="nil"/>
              <w:right w:val="nil"/>
            </w:tcBorders>
            <w:vAlign w:val="bottom"/>
          </w:tcPr>
          <w:p w:rsidR="007918C7" w:rsidRPr="00D74178" w:rsidRDefault="007918C7" w:rsidP="007918C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D74178">
              <w:rPr>
                <w:b/>
                <w:bCs/>
                <w:sz w:val="22"/>
              </w:rPr>
              <w:t>2014</w:t>
            </w:r>
          </w:p>
        </w:tc>
        <w:tc>
          <w:tcPr>
            <w:tcW w:w="785" w:type="pct"/>
            <w:tcBorders>
              <w:top w:val="nil"/>
              <w:left w:val="nil"/>
              <w:bottom w:val="nil"/>
              <w:right w:val="nil"/>
            </w:tcBorders>
            <w:vAlign w:val="bottom"/>
          </w:tcPr>
          <w:p w:rsidR="007918C7" w:rsidRPr="00D74178" w:rsidRDefault="007918C7" w:rsidP="007918C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D74178">
              <w:rPr>
                <w:b/>
                <w:bCs/>
                <w:sz w:val="22"/>
              </w:rPr>
              <w:t>2013</w:t>
            </w:r>
          </w:p>
        </w:tc>
      </w:tr>
      <w:tr w:rsidR="00511B8D" w:rsidRPr="0053635E" w:rsidTr="007918C7">
        <w:trPr>
          <w:cantSplit/>
          <w:jc w:val="center"/>
        </w:trPr>
        <w:tc>
          <w:tcPr>
            <w:tcW w:w="3475" w:type="pct"/>
            <w:tcBorders>
              <w:top w:val="nil"/>
              <w:left w:val="nil"/>
              <w:bottom w:val="nil"/>
              <w:right w:val="nil"/>
            </w:tcBorders>
          </w:tcPr>
          <w:p w:rsidR="00511B8D" w:rsidRPr="0063722D" w:rsidRDefault="00511B8D" w:rsidP="00FE2582">
            <w:pPr>
              <w:widowControl/>
              <w:suppressAutoHyphens/>
              <w:ind w:left="42"/>
              <w:rPr>
                <w:sz w:val="22"/>
              </w:rPr>
            </w:pPr>
            <w:r w:rsidRPr="0063722D">
              <w:rPr>
                <w:b/>
                <w:bCs/>
                <w:sz w:val="22"/>
              </w:rPr>
              <w:t>Revenues</w:t>
            </w:r>
          </w:p>
        </w:tc>
        <w:tc>
          <w:tcPr>
            <w:tcW w:w="785" w:type="pct"/>
            <w:gridSpan w:val="2"/>
            <w:tcBorders>
              <w:top w:val="nil"/>
              <w:left w:val="nil"/>
              <w:bottom w:val="nil"/>
              <w:right w:val="nil"/>
            </w:tcBorders>
            <w:vAlign w:val="bottom"/>
          </w:tcPr>
          <w:p w:rsidR="00511B8D" w:rsidRPr="0053635E" w:rsidRDefault="00511B8D" w:rsidP="00D7035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785" w:type="pct"/>
            <w:tcBorders>
              <w:top w:val="nil"/>
              <w:left w:val="nil"/>
              <w:bottom w:val="nil"/>
              <w:right w:val="nil"/>
            </w:tcBorders>
            <w:vAlign w:val="bottom"/>
          </w:tcPr>
          <w:p w:rsidR="00511B8D" w:rsidRPr="00C27A0D" w:rsidRDefault="00511B8D"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ind w:left="400" w:hanging="200"/>
              <w:rPr>
                <w:sz w:val="22"/>
              </w:rPr>
            </w:pPr>
            <w:r w:rsidRPr="0063722D">
              <w:rPr>
                <w:sz w:val="22"/>
              </w:rPr>
              <w:t>Equipment leasing revenue</w:t>
            </w:r>
            <w:r w:rsidRPr="0063722D">
              <w:rPr>
                <w:sz w:val="22"/>
              </w:rPr>
              <w:tab/>
            </w:r>
          </w:p>
        </w:tc>
        <w:tc>
          <w:tcPr>
            <w:tcW w:w="785" w:type="pct"/>
            <w:gridSpan w:val="2"/>
            <w:tcBorders>
              <w:top w:val="nil"/>
              <w:left w:val="nil"/>
              <w:bottom w:val="nil"/>
              <w:right w:val="nil"/>
            </w:tcBorders>
            <w:vAlign w:val="bottom"/>
          </w:tcPr>
          <w:p w:rsidR="007918C7" w:rsidRPr="006925AE" w:rsidRDefault="007918C7" w:rsidP="0077341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925AE">
              <w:rPr>
                <w:sz w:val="22"/>
              </w:rPr>
              <w:t xml:space="preserve">$         </w:t>
            </w:r>
            <w:r w:rsidR="00773416" w:rsidRPr="006925AE">
              <w:rPr>
                <w:sz w:val="22"/>
              </w:rPr>
              <w:t>131</w:t>
            </w:r>
            <w:r w:rsidRPr="006925AE">
              <w:rPr>
                <w:sz w:val="22"/>
              </w:rPr>
              <w:t>,</w:t>
            </w:r>
            <w:r w:rsidR="00773416" w:rsidRPr="006925AE">
              <w:rPr>
                <w:sz w:val="22"/>
              </w:rPr>
              <w:t>369</w:t>
            </w:r>
          </w:p>
        </w:tc>
        <w:tc>
          <w:tcPr>
            <w:tcW w:w="785" w:type="pct"/>
            <w:tcBorders>
              <w:top w:val="nil"/>
              <w:left w:val="nil"/>
              <w:bottom w:val="nil"/>
              <w:right w:val="nil"/>
            </w:tcBorders>
            <w:vAlign w:val="bottom"/>
          </w:tcPr>
          <w:p w:rsidR="007918C7" w:rsidRPr="00C27A0D" w:rsidRDefault="007918C7"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27A0D">
              <w:rPr>
                <w:sz w:val="22"/>
              </w:rPr>
              <w:t xml:space="preserve">$       </w:t>
            </w:r>
            <w:r w:rsidR="00C27A0D" w:rsidRPr="00C27A0D">
              <w:rPr>
                <w:sz w:val="22"/>
              </w:rPr>
              <w:t>107</w:t>
            </w:r>
            <w:r w:rsidRPr="00C27A0D">
              <w:rPr>
                <w:sz w:val="22"/>
              </w:rPr>
              <w:t>,</w:t>
            </w:r>
            <w:r w:rsidR="00C27A0D" w:rsidRPr="00C27A0D">
              <w:rPr>
                <w:sz w:val="22"/>
              </w:rPr>
              <w:t>547</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ind w:left="400" w:hanging="200"/>
              <w:rPr>
                <w:sz w:val="22"/>
              </w:rPr>
            </w:pPr>
            <w:r w:rsidRPr="0063722D">
              <w:rPr>
                <w:sz w:val="22"/>
              </w:rPr>
              <w:t>Finance revenue</w:t>
            </w:r>
            <w:r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925AE">
              <w:rPr>
                <w:sz w:val="22"/>
              </w:rPr>
              <w:t>595</w:t>
            </w:r>
          </w:p>
        </w:tc>
        <w:tc>
          <w:tcPr>
            <w:tcW w:w="785" w:type="pct"/>
            <w:tcBorders>
              <w:top w:val="nil"/>
              <w:left w:val="nil"/>
              <w:bottom w:val="nil"/>
              <w:right w:val="nil"/>
            </w:tcBorders>
            <w:vAlign w:val="bottom"/>
          </w:tcPr>
          <w:p w:rsidR="007918C7" w:rsidRPr="00C27A0D" w:rsidRDefault="00C27A0D"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27A0D">
              <w:rPr>
                <w:sz w:val="22"/>
              </w:rPr>
              <w:t>1</w:t>
            </w:r>
            <w:r w:rsidR="007918C7" w:rsidRPr="00C27A0D">
              <w:rPr>
                <w:sz w:val="22"/>
              </w:rPr>
              <w:t>,</w:t>
            </w:r>
            <w:r w:rsidRPr="00C27A0D">
              <w:rPr>
                <w:sz w:val="22"/>
              </w:rPr>
              <w:t>010</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spacing w:after="20"/>
              <w:ind w:left="400" w:hanging="200"/>
              <w:rPr>
                <w:sz w:val="22"/>
              </w:rPr>
            </w:pPr>
            <w:r w:rsidRPr="0063722D">
              <w:rPr>
                <w:sz w:val="22"/>
              </w:rPr>
              <w:t>Other revenue</w:t>
            </w:r>
            <w:r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925AE">
              <w:rPr>
                <w:sz w:val="22"/>
              </w:rPr>
              <w:t>7</w:t>
            </w:r>
            <w:r w:rsidR="007918C7" w:rsidRPr="006925AE">
              <w:rPr>
                <w:sz w:val="22"/>
              </w:rPr>
              <w:t>,</w:t>
            </w:r>
            <w:r w:rsidRPr="006925AE">
              <w:rPr>
                <w:sz w:val="22"/>
              </w:rPr>
              <w:t>687</w:t>
            </w:r>
          </w:p>
        </w:tc>
        <w:tc>
          <w:tcPr>
            <w:tcW w:w="785" w:type="pct"/>
            <w:tcBorders>
              <w:top w:val="nil"/>
              <w:left w:val="nil"/>
              <w:bottom w:val="nil"/>
              <w:right w:val="nil"/>
            </w:tcBorders>
            <w:vAlign w:val="bottom"/>
          </w:tcPr>
          <w:p w:rsidR="007918C7" w:rsidRPr="00C27A0D" w:rsidRDefault="00C27A0D" w:rsidP="00C27A0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C27A0D">
              <w:rPr>
                <w:sz w:val="22"/>
              </w:rPr>
              <w:t>9</w:t>
            </w:r>
            <w:r w:rsidR="007918C7" w:rsidRPr="00C27A0D">
              <w:rPr>
                <w:sz w:val="22"/>
              </w:rPr>
              <w:t>,</w:t>
            </w:r>
            <w:r w:rsidRPr="00C27A0D">
              <w:rPr>
                <w:sz w:val="22"/>
              </w:rPr>
              <w:t>342</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spacing w:after="20"/>
              <w:ind w:left="200" w:hanging="200"/>
              <w:rPr>
                <w:sz w:val="22"/>
              </w:rPr>
            </w:pPr>
            <w:r w:rsidRPr="0063722D">
              <w:rPr>
                <w:b/>
                <w:bCs/>
                <w:sz w:val="22"/>
              </w:rPr>
              <w:t>Total revenues</w:t>
            </w:r>
            <w:r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925AE">
              <w:rPr>
                <w:sz w:val="22"/>
              </w:rPr>
              <w:t>139</w:t>
            </w:r>
            <w:r w:rsidR="007918C7" w:rsidRPr="006925AE">
              <w:rPr>
                <w:sz w:val="22"/>
              </w:rPr>
              <w:t>,</w:t>
            </w:r>
            <w:r w:rsidRPr="006925AE">
              <w:rPr>
                <w:sz w:val="22"/>
              </w:rPr>
              <w:t>651</w:t>
            </w:r>
          </w:p>
        </w:tc>
        <w:tc>
          <w:tcPr>
            <w:tcW w:w="785" w:type="pct"/>
            <w:tcBorders>
              <w:top w:val="nil"/>
              <w:left w:val="nil"/>
              <w:bottom w:val="nil"/>
              <w:right w:val="nil"/>
            </w:tcBorders>
            <w:vAlign w:val="bottom"/>
          </w:tcPr>
          <w:p w:rsidR="007918C7" w:rsidRPr="00C27A0D" w:rsidRDefault="00C27A0D" w:rsidP="00C27A0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C27A0D">
              <w:rPr>
                <w:sz w:val="22"/>
              </w:rPr>
              <w:t>117</w:t>
            </w:r>
            <w:r w:rsidR="007918C7" w:rsidRPr="00C27A0D">
              <w:rPr>
                <w:sz w:val="22"/>
              </w:rPr>
              <w:t>,</w:t>
            </w:r>
            <w:r w:rsidRPr="00C27A0D">
              <w:rPr>
                <w:sz w:val="22"/>
              </w:rPr>
              <w:t>899</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22"/>
              </w:rPr>
            </w:pPr>
          </w:p>
        </w:tc>
        <w:tc>
          <w:tcPr>
            <w:tcW w:w="785" w:type="pct"/>
            <w:gridSpan w:val="2"/>
            <w:tcBorders>
              <w:top w:val="nil"/>
              <w:left w:val="nil"/>
              <w:bottom w:val="nil"/>
              <w:right w:val="nil"/>
            </w:tcBorders>
            <w:vAlign w:val="bottom"/>
          </w:tcPr>
          <w:p w:rsidR="007918C7" w:rsidRPr="006925AE"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785" w:type="pct"/>
            <w:tcBorders>
              <w:top w:val="nil"/>
              <w:left w:val="nil"/>
              <w:bottom w:val="nil"/>
              <w:right w:val="nil"/>
            </w:tcBorders>
            <w:vAlign w:val="bottom"/>
          </w:tcPr>
          <w:p w:rsidR="007918C7" w:rsidRPr="0053635E"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FE258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22"/>
              </w:rPr>
            </w:pPr>
            <w:r w:rsidRPr="0063722D">
              <w:rPr>
                <w:b/>
                <w:bCs/>
                <w:sz w:val="22"/>
              </w:rPr>
              <w:t>Expenses</w:t>
            </w:r>
          </w:p>
        </w:tc>
        <w:tc>
          <w:tcPr>
            <w:tcW w:w="785" w:type="pct"/>
            <w:gridSpan w:val="2"/>
            <w:tcBorders>
              <w:top w:val="nil"/>
              <w:left w:val="nil"/>
              <w:bottom w:val="nil"/>
              <w:right w:val="nil"/>
            </w:tcBorders>
            <w:vAlign w:val="bottom"/>
          </w:tcPr>
          <w:p w:rsidR="007918C7" w:rsidRPr="006925AE"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785" w:type="pct"/>
            <w:tcBorders>
              <w:top w:val="nil"/>
              <w:left w:val="nil"/>
              <w:bottom w:val="nil"/>
              <w:right w:val="nil"/>
            </w:tcBorders>
            <w:vAlign w:val="bottom"/>
          </w:tcPr>
          <w:p w:rsidR="007918C7" w:rsidRPr="0053635E" w:rsidRDefault="007918C7"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ind w:left="400" w:hanging="200"/>
              <w:rPr>
                <w:sz w:val="22"/>
              </w:rPr>
            </w:pPr>
            <w:r w:rsidRPr="0063722D">
              <w:rPr>
                <w:sz w:val="22"/>
              </w:rPr>
              <w:t>Direct operating expenses</w:t>
            </w:r>
            <w:r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925AE">
              <w:rPr>
                <w:sz w:val="22"/>
              </w:rPr>
              <w:t>66</w:t>
            </w:r>
            <w:r w:rsidR="007918C7" w:rsidRPr="006925AE">
              <w:rPr>
                <w:sz w:val="22"/>
              </w:rPr>
              <w:t>,</w:t>
            </w:r>
            <w:r w:rsidRPr="006925AE">
              <w:rPr>
                <w:sz w:val="22"/>
              </w:rPr>
              <w:t>833</w:t>
            </w:r>
          </w:p>
        </w:tc>
        <w:tc>
          <w:tcPr>
            <w:tcW w:w="785" w:type="pct"/>
            <w:tcBorders>
              <w:top w:val="nil"/>
              <w:left w:val="nil"/>
              <w:bottom w:val="nil"/>
              <w:right w:val="nil"/>
            </w:tcBorders>
            <w:vAlign w:val="bottom"/>
          </w:tcPr>
          <w:p w:rsidR="007918C7" w:rsidRPr="00C27A0D" w:rsidRDefault="00C27A0D"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27A0D">
              <w:rPr>
                <w:sz w:val="22"/>
              </w:rPr>
              <w:t>61</w:t>
            </w:r>
            <w:r w:rsidR="007918C7" w:rsidRPr="00C27A0D">
              <w:rPr>
                <w:sz w:val="22"/>
              </w:rPr>
              <w:t>,</w:t>
            </w:r>
            <w:r w:rsidRPr="00C27A0D">
              <w:rPr>
                <w:sz w:val="22"/>
              </w:rPr>
              <w:t>003</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ind w:left="400" w:hanging="200"/>
              <w:rPr>
                <w:sz w:val="22"/>
              </w:rPr>
            </w:pPr>
            <w:r w:rsidRPr="0063722D">
              <w:rPr>
                <w:sz w:val="22"/>
              </w:rPr>
              <w:t>Selling, general and administrative expenses</w:t>
            </w:r>
            <w:r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925AE">
              <w:rPr>
                <w:sz w:val="22"/>
              </w:rPr>
              <w:t>18</w:t>
            </w:r>
            <w:r w:rsidR="007918C7" w:rsidRPr="006925AE">
              <w:rPr>
                <w:sz w:val="22"/>
              </w:rPr>
              <w:t>,</w:t>
            </w:r>
            <w:r w:rsidRPr="006925AE">
              <w:rPr>
                <w:sz w:val="22"/>
              </w:rPr>
              <w:t>569</w:t>
            </w:r>
          </w:p>
        </w:tc>
        <w:tc>
          <w:tcPr>
            <w:tcW w:w="785" w:type="pct"/>
            <w:tcBorders>
              <w:top w:val="nil"/>
              <w:left w:val="nil"/>
              <w:bottom w:val="nil"/>
              <w:right w:val="nil"/>
            </w:tcBorders>
            <w:vAlign w:val="bottom"/>
          </w:tcPr>
          <w:p w:rsidR="007918C7" w:rsidRPr="00C27A0D" w:rsidRDefault="00C27A0D"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27A0D">
              <w:rPr>
                <w:sz w:val="22"/>
              </w:rPr>
              <w:t>13</w:t>
            </w:r>
            <w:r w:rsidR="007918C7" w:rsidRPr="00C27A0D">
              <w:rPr>
                <w:sz w:val="22"/>
              </w:rPr>
              <w:t>,</w:t>
            </w:r>
            <w:r w:rsidRPr="00C27A0D">
              <w:rPr>
                <w:sz w:val="22"/>
              </w:rPr>
              <w:t>514</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ind w:left="400" w:hanging="200"/>
              <w:rPr>
                <w:sz w:val="22"/>
              </w:rPr>
            </w:pPr>
            <w:r w:rsidRPr="0063722D">
              <w:rPr>
                <w:sz w:val="22"/>
              </w:rPr>
              <w:t>Depreciation expense</w:t>
            </w:r>
            <w:r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925AE">
              <w:rPr>
                <w:sz w:val="22"/>
              </w:rPr>
              <w:t>18</w:t>
            </w:r>
            <w:r w:rsidR="007918C7" w:rsidRPr="006925AE">
              <w:rPr>
                <w:sz w:val="22"/>
              </w:rPr>
              <w:t>,</w:t>
            </w:r>
            <w:r w:rsidRPr="006925AE">
              <w:rPr>
                <w:sz w:val="22"/>
              </w:rPr>
              <w:t>504</w:t>
            </w:r>
          </w:p>
        </w:tc>
        <w:tc>
          <w:tcPr>
            <w:tcW w:w="785" w:type="pct"/>
            <w:tcBorders>
              <w:top w:val="nil"/>
              <w:left w:val="nil"/>
              <w:bottom w:val="nil"/>
              <w:right w:val="nil"/>
            </w:tcBorders>
            <w:vAlign w:val="bottom"/>
          </w:tcPr>
          <w:p w:rsidR="007918C7" w:rsidRPr="00C27A0D" w:rsidRDefault="00C27A0D"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27A0D">
              <w:rPr>
                <w:sz w:val="22"/>
              </w:rPr>
              <w:t>17</w:t>
            </w:r>
            <w:r w:rsidR="007918C7" w:rsidRPr="00C27A0D">
              <w:rPr>
                <w:sz w:val="22"/>
              </w:rPr>
              <w:t>,</w:t>
            </w:r>
            <w:r w:rsidRPr="00C27A0D">
              <w:rPr>
                <w:sz w:val="22"/>
              </w:rPr>
              <w:t>274</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ind w:left="400" w:hanging="200"/>
              <w:rPr>
                <w:sz w:val="22"/>
              </w:rPr>
            </w:pPr>
            <w:r w:rsidRPr="0063722D">
              <w:rPr>
                <w:sz w:val="22"/>
              </w:rPr>
              <w:t>Provision for doubtful accounts</w:t>
            </w:r>
            <w:r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925AE">
              <w:rPr>
                <w:sz w:val="22"/>
              </w:rPr>
              <w:t>3</w:t>
            </w:r>
            <w:r w:rsidR="007918C7" w:rsidRPr="006925AE">
              <w:rPr>
                <w:sz w:val="22"/>
              </w:rPr>
              <w:t>,</w:t>
            </w:r>
            <w:r w:rsidRPr="006925AE">
              <w:rPr>
                <w:sz w:val="22"/>
              </w:rPr>
              <w:t>457</w:t>
            </w:r>
          </w:p>
        </w:tc>
        <w:tc>
          <w:tcPr>
            <w:tcW w:w="785" w:type="pct"/>
            <w:tcBorders>
              <w:top w:val="nil"/>
              <w:left w:val="nil"/>
              <w:bottom w:val="nil"/>
              <w:right w:val="nil"/>
            </w:tcBorders>
            <w:vAlign w:val="bottom"/>
          </w:tcPr>
          <w:p w:rsidR="007918C7" w:rsidRPr="00C27A0D" w:rsidRDefault="007918C7"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27A0D">
              <w:rPr>
                <w:sz w:val="22"/>
              </w:rPr>
              <w:t>2,</w:t>
            </w:r>
            <w:r w:rsidR="00C27A0D" w:rsidRPr="00C27A0D">
              <w:rPr>
                <w:sz w:val="22"/>
              </w:rPr>
              <w:t>156</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ind w:left="400" w:hanging="200"/>
              <w:rPr>
                <w:sz w:val="22"/>
              </w:rPr>
            </w:pPr>
            <w:r w:rsidRPr="0063722D">
              <w:rPr>
                <w:sz w:val="22"/>
              </w:rPr>
              <w:t>Impairment of leasing equipment</w:t>
            </w:r>
            <w:r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925AE">
              <w:rPr>
                <w:sz w:val="22"/>
              </w:rPr>
              <w:t>1</w:t>
            </w:r>
            <w:r w:rsidR="007918C7" w:rsidRPr="006925AE">
              <w:rPr>
                <w:sz w:val="22"/>
              </w:rPr>
              <w:t>,</w:t>
            </w:r>
            <w:r w:rsidRPr="006925AE">
              <w:rPr>
                <w:sz w:val="22"/>
              </w:rPr>
              <w:t>126</w:t>
            </w:r>
          </w:p>
        </w:tc>
        <w:tc>
          <w:tcPr>
            <w:tcW w:w="785" w:type="pct"/>
            <w:tcBorders>
              <w:top w:val="nil"/>
              <w:left w:val="nil"/>
              <w:bottom w:val="nil"/>
              <w:right w:val="nil"/>
            </w:tcBorders>
            <w:vAlign w:val="bottom"/>
          </w:tcPr>
          <w:p w:rsidR="007918C7" w:rsidRPr="00C27A0D" w:rsidRDefault="00C27A0D"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27A0D">
              <w:rPr>
                <w:sz w:val="22"/>
              </w:rPr>
              <w:t>2</w:t>
            </w:r>
            <w:r w:rsidR="007918C7" w:rsidRPr="00C27A0D">
              <w:rPr>
                <w:sz w:val="22"/>
              </w:rPr>
              <w:t>,</w:t>
            </w:r>
            <w:r w:rsidRPr="00C27A0D">
              <w:rPr>
                <w:sz w:val="22"/>
              </w:rPr>
              <w:t>133</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C27A0D">
            <w:pPr>
              <w:widowControl/>
              <w:suppressAutoHyphens/>
              <w:ind w:left="400" w:hanging="200"/>
              <w:rPr>
                <w:sz w:val="22"/>
              </w:rPr>
            </w:pPr>
            <w:r w:rsidRPr="0063722D">
              <w:rPr>
                <w:sz w:val="22"/>
              </w:rPr>
              <w:t xml:space="preserve">Loss on </w:t>
            </w:r>
            <w:r w:rsidR="00C27A0D" w:rsidRPr="0063722D">
              <w:rPr>
                <w:sz w:val="22"/>
              </w:rPr>
              <w:t>modification and extinguishment of debt                             and capital lease obligations</w:t>
            </w:r>
          </w:p>
        </w:tc>
        <w:tc>
          <w:tcPr>
            <w:tcW w:w="785" w:type="pct"/>
            <w:gridSpan w:val="2"/>
            <w:tcBorders>
              <w:top w:val="nil"/>
              <w:left w:val="nil"/>
              <w:bottom w:val="nil"/>
              <w:right w:val="nil"/>
            </w:tcBorders>
            <w:vAlign w:val="bottom"/>
          </w:tcPr>
          <w:p w:rsidR="007918C7" w:rsidRPr="006925AE" w:rsidRDefault="00773416" w:rsidP="0077341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925AE">
              <w:rPr>
                <w:sz w:val="22"/>
              </w:rPr>
              <w:t>22</w:t>
            </w:r>
          </w:p>
        </w:tc>
        <w:tc>
          <w:tcPr>
            <w:tcW w:w="785" w:type="pct"/>
            <w:tcBorders>
              <w:top w:val="nil"/>
              <w:left w:val="nil"/>
              <w:bottom w:val="nil"/>
              <w:right w:val="nil"/>
            </w:tcBorders>
            <w:vAlign w:val="bottom"/>
          </w:tcPr>
          <w:p w:rsidR="007918C7" w:rsidRPr="00C27A0D" w:rsidRDefault="00C27A0D"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27A0D">
              <w:rPr>
                <w:sz w:val="22"/>
              </w:rPr>
              <w:t>647</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ind w:left="400" w:hanging="200"/>
              <w:rPr>
                <w:sz w:val="22"/>
              </w:rPr>
            </w:pPr>
            <w:r w:rsidRPr="0063722D">
              <w:rPr>
                <w:sz w:val="22"/>
              </w:rPr>
              <w:t>Interest expense</w:t>
            </w:r>
            <w:r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925AE">
              <w:rPr>
                <w:sz w:val="22"/>
              </w:rPr>
              <w:t>22</w:t>
            </w:r>
            <w:r w:rsidR="007918C7" w:rsidRPr="006925AE">
              <w:rPr>
                <w:sz w:val="22"/>
              </w:rPr>
              <w:t>,</w:t>
            </w:r>
            <w:r w:rsidRPr="006925AE">
              <w:rPr>
                <w:sz w:val="22"/>
              </w:rPr>
              <w:t>216</w:t>
            </w:r>
          </w:p>
        </w:tc>
        <w:tc>
          <w:tcPr>
            <w:tcW w:w="785" w:type="pct"/>
            <w:tcBorders>
              <w:top w:val="nil"/>
              <w:left w:val="nil"/>
              <w:bottom w:val="nil"/>
              <w:right w:val="nil"/>
            </w:tcBorders>
            <w:vAlign w:val="bottom"/>
          </w:tcPr>
          <w:p w:rsidR="007918C7" w:rsidRPr="00C27A0D" w:rsidRDefault="00C27A0D"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27A0D">
              <w:rPr>
                <w:sz w:val="22"/>
              </w:rPr>
              <w:t>22</w:t>
            </w:r>
            <w:r w:rsidR="007918C7" w:rsidRPr="00C27A0D">
              <w:rPr>
                <w:sz w:val="22"/>
              </w:rPr>
              <w:t>,</w:t>
            </w:r>
            <w:r w:rsidRPr="00C27A0D">
              <w:rPr>
                <w:sz w:val="22"/>
              </w:rPr>
              <w:t>722</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ind w:left="400" w:hanging="200"/>
              <w:rPr>
                <w:sz w:val="22"/>
              </w:rPr>
            </w:pPr>
            <w:r w:rsidRPr="0063722D">
              <w:rPr>
                <w:sz w:val="22"/>
              </w:rPr>
              <w:t>Interest income</w:t>
            </w:r>
            <w:r w:rsidRPr="0063722D">
              <w:rPr>
                <w:sz w:val="22"/>
              </w:rPr>
              <w:tab/>
            </w:r>
          </w:p>
        </w:tc>
        <w:tc>
          <w:tcPr>
            <w:tcW w:w="785" w:type="pct"/>
            <w:gridSpan w:val="2"/>
            <w:tcBorders>
              <w:top w:val="nil"/>
              <w:left w:val="nil"/>
              <w:bottom w:val="nil"/>
              <w:right w:val="nil"/>
            </w:tcBorders>
            <w:vAlign w:val="bottom"/>
          </w:tcPr>
          <w:p w:rsidR="007918C7" w:rsidRPr="006925AE" w:rsidRDefault="007918C7" w:rsidP="0077341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925AE">
              <w:rPr>
                <w:sz w:val="22"/>
              </w:rPr>
              <w:t>(</w:t>
            </w:r>
            <w:r w:rsidR="00773416" w:rsidRPr="006925AE">
              <w:rPr>
                <w:sz w:val="22"/>
              </w:rPr>
              <w:t>24</w:t>
            </w:r>
            <w:r w:rsidRPr="006925AE">
              <w:rPr>
                <w:sz w:val="22"/>
              </w:rPr>
              <w:t>)</w:t>
            </w:r>
          </w:p>
        </w:tc>
        <w:tc>
          <w:tcPr>
            <w:tcW w:w="785" w:type="pct"/>
            <w:tcBorders>
              <w:top w:val="nil"/>
              <w:left w:val="nil"/>
              <w:bottom w:val="nil"/>
              <w:right w:val="nil"/>
            </w:tcBorders>
            <w:vAlign w:val="bottom"/>
          </w:tcPr>
          <w:p w:rsidR="007918C7" w:rsidRPr="00C27A0D" w:rsidRDefault="007918C7"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27A0D">
              <w:rPr>
                <w:sz w:val="22"/>
              </w:rPr>
              <w:t>(</w:t>
            </w:r>
            <w:r w:rsidR="00C27A0D" w:rsidRPr="00C27A0D">
              <w:rPr>
                <w:sz w:val="22"/>
              </w:rPr>
              <w:t>2</w:t>
            </w:r>
            <w:r w:rsidRPr="00C27A0D">
              <w:rPr>
                <w:sz w:val="22"/>
              </w:rPr>
              <w:t>)</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C27A0D">
            <w:pPr>
              <w:widowControl/>
              <w:suppressAutoHyphens/>
              <w:spacing w:after="20"/>
              <w:ind w:left="400" w:hanging="200"/>
              <w:rPr>
                <w:sz w:val="22"/>
              </w:rPr>
            </w:pPr>
            <w:r w:rsidRPr="0063722D">
              <w:rPr>
                <w:sz w:val="22"/>
              </w:rPr>
              <w:t>Other income, net</w:t>
            </w:r>
            <w:r w:rsidRPr="0063722D">
              <w:rPr>
                <w:sz w:val="22"/>
              </w:rPr>
              <w:tab/>
            </w:r>
          </w:p>
        </w:tc>
        <w:tc>
          <w:tcPr>
            <w:tcW w:w="785" w:type="pct"/>
            <w:gridSpan w:val="2"/>
            <w:tcBorders>
              <w:top w:val="nil"/>
              <w:left w:val="nil"/>
              <w:bottom w:val="nil"/>
              <w:right w:val="nil"/>
            </w:tcBorders>
            <w:vAlign w:val="bottom"/>
          </w:tcPr>
          <w:p w:rsidR="007918C7" w:rsidRPr="006925AE" w:rsidRDefault="007918C7" w:rsidP="0077341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925AE">
              <w:rPr>
                <w:sz w:val="22"/>
              </w:rPr>
              <w:t>(</w:t>
            </w:r>
            <w:r w:rsidR="00773416" w:rsidRPr="006925AE">
              <w:rPr>
                <w:sz w:val="22"/>
              </w:rPr>
              <w:t>382</w:t>
            </w:r>
            <w:r w:rsidRPr="006925AE">
              <w:rPr>
                <w:sz w:val="22"/>
              </w:rPr>
              <w:t>)</w:t>
            </w:r>
          </w:p>
        </w:tc>
        <w:tc>
          <w:tcPr>
            <w:tcW w:w="785" w:type="pct"/>
            <w:tcBorders>
              <w:top w:val="nil"/>
              <w:left w:val="nil"/>
              <w:bottom w:val="nil"/>
              <w:right w:val="nil"/>
            </w:tcBorders>
            <w:vAlign w:val="bottom"/>
          </w:tcPr>
          <w:p w:rsidR="007918C7" w:rsidRPr="00C27A0D" w:rsidRDefault="007918C7" w:rsidP="00C27A0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C27A0D">
              <w:rPr>
                <w:sz w:val="22"/>
              </w:rPr>
              <w:t>(</w:t>
            </w:r>
            <w:r w:rsidR="00C27A0D" w:rsidRPr="00C27A0D">
              <w:rPr>
                <w:sz w:val="22"/>
              </w:rPr>
              <w:t>798</w:t>
            </w:r>
            <w:r w:rsidRPr="00C27A0D">
              <w:rPr>
                <w:sz w:val="22"/>
              </w:rPr>
              <w:t>)</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spacing w:after="20"/>
              <w:ind w:left="200" w:hanging="200"/>
              <w:rPr>
                <w:sz w:val="22"/>
              </w:rPr>
            </w:pPr>
            <w:r w:rsidRPr="0063722D">
              <w:rPr>
                <w:b/>
                <w:bCs/>
                <w:sz w:val="22"/>
              </w:rPr>
              <w:t>Total expenses</w:t>
            </w:r>
            <w:r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925AE">
              <w:rPr>
                <w:sz w:val="22"/>
              </w:rPr>
              <w:t>130</w:t>
            </w:r>
            <w:r w:rsidR="007918C7" w:rsidRPr="006925AE">
              <w:rPr>
                <w:sz w:val="22"/>
              </w:rPr>
              <w:t>,</w:t>
            </w:r>
            <w:r w:rsidRPr="006925AE">
              <w:rPr>
                <w:sz w:val="22"/>
              </w:rPr>
              <w:t>321</w:t>
            </w:r>
          </w:p>
        </w:tc>
        <w:tc>
          <w:tcPr>
            <w:tcW w:w="785" w:type="pct"/>
            <w:tcBorders>
              <w:top w:val="nil"/>
              <w:left w:val="nil"/>
              <w:bottom w:val="nil"/>
              <w:right w:val="nil"/>
            </w:tcBorders>
            <w:vAlign w:val="bottom"/>
          </w:tcPr>
          <w:p w:rsidR="007918C7" w:rsidRPr="00C27A0D" w:rsidRDefault="00C27A0D" w:rsidP="00C27A0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C27A0D">
              <w:rPr>
                <w:sz w:val="22"/>
              </w:rPr>
              <w:t>118</w:t>
            </w:r>
            <w:r w:rsidR="007918C7" w:rsidRPr="00C27A0D">
              <w:rPr>
                <w:sz w:val="22"/>
              </w:rPr>
              <w:t>,</w:t>
            </w:r>
            <w:r w:rsidRPr="00C27A0D">
              <w:rPr>
                <w:sz w:val="22"/>
              </w:rPr>
              <w:t>649</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1642">
            <w:pPr>
              <w:widowControl/>
              <w:suppressAutoHyphens/>
              <w:ind w:left="200" w:hanging="200"/>
              <w:rPr>
                <w:sz w:val="22"/>
              </w:rPr>
            </w:pPr>
          </w:p>
        </w:tc>
        <w:tc>
          <w:tcPr>
            <w:tcW w:w="785" w:type="pct"/>
            <w:gridSpan w:val="2"/>
            <w:tcBorders>
              <w:top w:val="nil"/>
              <w:left w:val="nil"/>
              <w:bottom w:val="nil"/>
              <w:right w:val="nil"/>
            </w:tcBorders>
            <w:vAlign w:val="bottom"/>
          </w:tcPr>
          <w:p w:rsidR="007918C7" w:rsidRPr="006925AE" w:rsidRDefault="007918C7" w:rsidP="0012281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785" w:type="pct"/>
            <w:tcBorders>
              <w:top w:val="nil"/>
              <w:left w:val="nil"/>
              <w:bottom w:val="nil"/>
              <w:right w:val="nil"/>
            </w:tcBorders>
            <w:vAlign w:val="bottom"/>
          </w:tcPr>
          <w:p w:rsidR="007918C7" w:rsidRPr="0053635E" w:rsidRDefault="007918C7" w:rsidP="00B52FA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7918C7" w:rsidRPr="0053635E" w:rsidTr="007918C7">
        <w:trPr>
          <w:cantSplit/>
          <w:jc w:val="center"/>
        </w:trPr>
        <w:tc>
          <w:tcPr>
            <w:tcW w:w="3475" w:type="pct"/>
            <w:tcBorders>
              <w:top w:val="nil"/>
              <w:left w:val="nil"/>
              <w:bottom w:val="nil"/>
              <w:right w:val="nil"/>
            </w:tcBorders>
          </w:tcPr>
          <w:p w:rsidR="007918C7" w:rsidRPr="0063722D" w:rsidRDefault="00443316" w:rsidP="00443316">
            <w:pPr>
              <w:widowControl/>
              <w:suppressAutoHyphens/>
              <w:ind w:left="200" w:hanging="200"/>
              <w:rPr>
                <w:sz w:val="22"/>
              </w:rPr>
            </w:pPr>
            <w:r w:rsidRPr="0063722D">
              <w:rPr>
                <w:sz w:val="22"/>
              </w:rPr>
              <w:t>Income (l</w:t>
            </w:r>
            <w:r w:rsidR="007918C7" w:rsidRPr="0063722D">
              <w:rPr>
                <w:sz w:val="22"/>
              </w:rPr>
              <w:t>oss</w:t>
            </w:r>
            <w:r w:rsidRPr="0063722D">
              <w:rPr>
                <w:sz w:val="22"/>
              </w:rPr>
              <w:t>)</w:t>
            </w:r>
            <w:r w:rsidR="007918C7" w:rsidRPr="0063722D">
              <w:rPr>
                <w:sz w:val="22"/>
              </w:rPr>
              <w:t xml:space="preserve"> before</w:t>
            </w:r>
            <w:r w:rsidRPr="0063722D">
              <w:rPr>
                <w:sz w:val="22"/>
              </w:rPr>
              <w:t xml:space="preserve"> provision</w:t>
            </w:r>
            <w:r w:rsidR="007918C7" w:rsidRPr="0063722D">
              <w:rPr>
                <w:sz w:val="22"/>
              </w:rPr>
              <w:t xml:space="preserve"> </w:t>
            </w:r>
            <w:r w:rsidRPr="0063722D">
              <w:rPr>
                <w:sz w:val="22"/>
              </w:rPr>
              <w:t>(</w:t>
            </w:r>
            <w:r w:rsidR="007918C7" w:rsidRPr="0063722D">
              <w:rPr>
                <w:sz w:val="22"/>
              </w:rPr>
              <w:t>benefit</w:t>
            </w:r>
            <w:r w:rsidRPr="0063722D">
              <w:rPr>
                <w:sz w:val="22"/>
              </w:rPr>
              <w:t>)</w:t>
            </w:r>
            <w:r w:rsidR="007918C7" w:rsidRPr="0063722D">
              <w:rPr>
                <w:sz w:val="22"/>
              </w:rPr>
              <w:t xml:space="preserve"> for income taxes</w:t>
            </w:r>
            <w:r w:rsidR="007918C7"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925AE">
              <w:rPr>
                <w:sz w:val="22"/>
              </w:rPr>
              <w:t>9</w:t>
            </w:r>
            <w:r w:rsidR="007918C7" w:rsidRPr="006925AE">
              <w:rPr>
                <w:sz w:val="22"/>
              </w:rPr>
              <w:t>,</w:t>
            </w:r>
            <w:r w:rsidRPr="006925AE">
              <w:rPr>
                <w:sz w:val="22"/>
              </w:rPr>
              <w:t>330</w:t>
            </w:r>
          </w:p>
        </w:tc>
        <w:tc>
          <w:tcPr>
            <w:tcW w:w="785" w:type="pct"/>
            <w:tcBorders>
              <w:top w:val="nil"/>
              <w:left w:val="nil"/>
              <w:bottom w:val="nil"/>
              <w:right w:val="nil"/>
            </w:tcBorders>
            <w:vAlign w:val="bottom"/>
          </w:tcPr>
          <w:p w:rsidR="007918C7" w:rsidRPr="00C27A0D" w:rsidRDefault="007918C7" w:rsidP="00C27A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27A0D">
              <w:rPr>
                <w:sz w:val="22"/>
              </w:rPr>
              <w:t>(</w:t>
            </w:r>
            <w:r w:rsidR="00C27A0D" w:rsidRPr="00C27A0D">
              <w:rPr>
                <w:sz w:val="22"/>
              </w:rPr>
              <w:t>750</w:t>
            </w:r>
            <w:r w:rsidRPr="00C27A0D">
              <w:rPr>
                <w:sz w:val="22"/>
              </w:rPr>
              <w:t>)</w:t>
            </w:r>
          </w:p>
        </w:tc>
      </w:tr>
      <w:tr w:rsidR="007918C7" w:rsidRPr="0053635E" w:rsidTr="007918C7">
        <w:trPr>
          <w:cantSplit/>
          <w:jc w:val="center"/>
        </w:trPr>
        <w:tc>
          <w:tcPr>
            <w:tcW w:w="3475" w:type="pct"/>
            <w:tcBorders>
              <w:top w:val="nil"/>
              <w:left w:val="nil"/>
              <w:bottom w:val="nil"/>
              <w:right w:val="nil"/>
            </w:tcBorders>
          </w:tcPr>
          <w:p w:rsidR="007918C7" w:rsidRPr="0063722D" w:rsidRDefault="00443316" w:rsidP="00443316">
            <w:pPr>
              <w:widowControl/>
              <w:suppressAutoHyphens/>
              <w:spacing w:after="20"/>
              <w:ind w:left="200" w:hanging="200"/>
              <w:rPr>
                <w:sz w:val="22"/>
              </w:rPr>
            </w:pPr>
            <w:r w:rsidRPr="0063722D">
              <w:rPr>
                <w:sz w:val="22"/>
              </w:rPr>
              <w:t>Provision (b</w:t>
            </w:r>
            <w:r w:rsidR="007918C7" w:rsidRPr="0063722D">
              <w:rPr>
                <w:sz w:val="22"/>
              </w:rPr>
              <w:t>enefit</w:t>
            </w:r>
            <w:r w:rsidRPr="0063722D">
              <w:rPr>
                <w:sz w:val="22"/>
              </w:rPr>
              <w:t>)</w:t>
            </w:r>
            <w:r w:rsidR="007918C7" w:rsidRPr="0063722D">
              <w:rPr>
                <w:sz w:val="22"/>
              </w:rPr>
              <w:t xml:space="preserve"> for income taxes</w:t>
            </w:r>
            <w:r w:rsidR="007918C7" w:rsidRPr="0063722D">
              <w:rPr>
                <w:sz w:val="22"/>
              </w:rPr>
              <w:tab/>
            </w:r>
          </w:p>
        </w:tc>
        <w:tc>
          <w:tcPr>
            <w:tcW w:w="785" w:type="pct"/>
            <w:gridSpan w:val="2"/>
            <w:tcBorders>
              <w:top w:val="nil"/>
              <w:left w:val="nil"/>
              <w:bottom w:val="nil"/>
              <w:right w:val="nil"/>
            </w:tcBorders>
            <w:vAlign w:val="bottom"/>
          </w:tcPr>
          <w:p w:rsidR="007918C7" w:rsidRPr="006925AE" w:rsidRDefault="00773416" w:rsidP="0077341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925AE">
              <w:rPr>
                <w:sz w:val="22"/>
              </w:rPr>
              <w:t>3</w:t>
            </w:r>
            <w:r w:rsidR="007918C7" w:rsidRPr="006925AE">
              <w:rPr>
                <w:sz w:val="22"/>
              </w:rPr>
              <w:t>,</w:t>
            </w:r>
            <w:r w:rsidRPr="006925AE">
              <w:rPr>
                <w:sz w:val="22"/>
              </w:rPr>
              <w:t>856</w:t>
            </w:r>
          </w:p>
        </w:tc>
        <w:tc>
          <w:tcPr>
            <w:tcW w:w="785" w:type="pct"/>
            <w:tcBorders>
              <w:top w:val="nil"/>
              <w:left w:val="nil"/>
              <w:bottom w:val="nil"/>
              <w:right w:val="nil"/>
            </w:tcBorders>
            <w:vAlign w:val="bottom"/>
          </w:tcPr>
          <w:p w:rsidR="007918C7" w:rsidRPr="00C27A0D" w:rsidRDefault="007918C7" w:rsidP="00C27A0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C27A0D">
              <w:rPr>
                <w:sz w:val="22"/>
              </w:rPr>
              <w:t>(</w:t>
            </w:r>
            <w:r w:rsidR="00C27A0D" w:rsidRPr="00C27A0D">
              <w:rPr>
                <w:sz w:val="22"/>
              </w:rPr>
              <w:t>315</w:t>
            </w:r>
            <w:r w:rsidRPr="00C27A0D">
              <w:rPr>
                <w:sz w:val="22"/>
              </w:rPr>
              <w:t>)</w:t>
            </w:r>
          </w:p>
        </w:tc>
      </w:tr>
      <w:tr w:rsidR="007918C7" w:rsidRPr="0053635E" w:rsidTr="007918C7">
        <w:trPr>
          <w:cantSplit/>
          <w:jc w:val="center"/>
        </w:trPr>
        <w:tc>
          <w:tcPr>
            <w:tcW w:w="3475" w:type="pct"/>
            <w:tcBorders>
              <w:top w:val="nil"/>
              <w:left w:val="nil"/>
              <w:bottom w:val="nil"/>
              <w:right w:val="nil"/>
            </w:tcBorders>
          </w:tcPr>
          <w:p w:rsidR="007918C7" w:rsidRPr="0063722D" w:rsidRDefault="007918C7" w:rsidP="00953797">
            <w:pPr>
              <w:widowControl/>
              <w:suppressAutoHyphens/>
              <w:spacing w:after="40"/>
              <w:ind w:left="200" w:hanging="200"/>
              <w:rPr>
                <w:sz w:val="22"/>
              </w:rPr>
            </w:pPr>
            <w:r w:rsidRPr="0063722D">
              <w:rPr>
                <w:b/>
                <w:bCs/>
                <w:sz w:val="22"/>
              </w:rPr>
              <w:t xml:space="preserve">Net </w:t>
            </w:r>
            <w:r w:rsidR="00443316" w:rsidRPr="0063722D">
              <w:rPr>
                <w:b/>
                <w:bCs/>
                <w:sz w:val="22"/>
              </w:rPr>
              <w:t>income (</w:t>
            </w:r>
            <w:r w:rsidRPr="0063722D">
              <w:rPr>
                <w:b/>
                <w:bCs/>
                <w:sz w:val="22"/>
              </w:rPr>
              <w:t>loss</w:t>
            </w:r>
            <w:r w:rsidR="00443316" w:rsidRPr="0063722D">
              <w:rPr>
                <w:b/>
                <w:bCs/>
                <w:sz w:val="22"/>
              </w:rPr>
              <w:t>)</w:t>
            </w:r>
          </w:p>
        </w:tc>
        <w:tc>
          <w:tcPr>
            <w:tcW w:w="785" w:type="pct"/>
            <w:gridSpan w:val="2"/>
            <w:tcBorders>
              <w:top w:val="nil"/>
              <w:left w:val="nil"/>
              <w:bottom w:val="nil"/>
              <w:right w:val="nil"/>
            </w:tcBorders>
            <w:vAlign w:val="bottom"/>
          </w:tcPr>
          <w:p w:rsidR="007918C7" w:rsidRPr="006925AE" w:rsidRDefault="007918C7" w:rsidP="00773416">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6925AE">
              <w:rPr>
                <w:sz w:val="22"/>
              </w:rPr>
              <w:t xml:space="preserve">$    </w:t>
            </w:r>
            <w:r w:rsidR="00F81330">
              <w:rPr>
                <w:sz w:val="22"/>
              </w:rPr>
              <w:t xml:space="preserve">  </w:t>
            </w:r>
            <w:r w:rsidRPr="006925AE">
              <w:rPr>
                <w:sz w:val="22"/>
              </w:rPr>
              <w:t xml:space="preserve">      </w:t>
            </w:r>
            <w:r w:rsidR="00773416" w:rsidRPr="006925AE">
              <w:rPr>
                <w:sz w:val="22"/>
              </w:rPr>
              <w:t>5</w:t>
            </w:r>
            <w:r w:rsidRPr="006925AE">
              <w:rPr>
                <w:sz w:val="22"/>
              </w:rPr>
              <w:t>,</w:t>
            </w:r>
            <w:r w:rsidR="00773416" w:rsidRPr="006925AE">
              <w:rPr>
                <w:sz w:val="22"/>
              </w:rPr>
              <w:t>474</w:t>
            </w:r>
          </w:p>
        </w:tc>
        <w:tc>
          <w:tcPr>
            <w:tcW w:w="785" w:type="pct"/>
            <w:tcBorders>
              <w:top w:val="nil"/>
              <w:left w:val="nil"/>
              <w:bottom w:val="nil"/>
              <w:right w:val="nil"/>
            </w:tcBorders>
            <w:vAlign w:val="bottom"/>
          </w:tcPr>
          <w:p w:rsidR="007918C7" w:rsidRPr="00C27A0D" w:rsidRDefault="007918C7" w:rsidP="00F8133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C27A0D">
              <w:rPr>
                <w:sz w:val="22"/>
              </w:rPr>
              <w:t xml:space="preserve">$   </w:t>
            </w:r>
            <w:r w:rsidR="00F81330">
              <w:rPr>
                <w:sz w:val="22"/>
              </w:rPr>
              <w:t xml:space="preserve">    </w:t>
            </w:r>
            <w:r w:rsidRPr="00C27A0D">
              <w:rPr>
                <w:sz w:val="22"/>
              </w:rPr>
              <w:t xml:space="preserve">    (</w:t>
            </w:r>
            <w:r w:rsidR="00C27A0D" w:rsidRPr="00C27A0D">
              <w:rPr>
                <w:sz w:val="22"/>
              </w:rPr>
              <w:t>435</w:t>
            </w:r>
            <w:r w:rsidRPr="00C27A0D">
              <w:rPr>
                <w:sz w:val="22"/>
              </w:rPr>
              <w:t>)</w:t>
            </w:r>
          </w:p>
        </w:tc>
      </w:tr>
    </w:tbl>
    <w:p w:rsidR="00951642" w:rsidRPr="0053635E" w:rsidRDefault="00951642" w:rsidP="00744A72">
      <w:pPr>
        <w:widowControl/>
        <w:tabs>
          <w:tab w:val="center" w:pos="5400"/>
        </w:tabs>
        <w:suppressAutoHyphens/>
        <w:spacing w:before="240" w:after="240"/>
        <w:jc w:val="center"/>
        <w:rPr>
          <w:sz w:val="22"/>
          <w:highlight w:val="yellow"/>
        </w:rPr>
      </w:pPr>
    </w:p>
    <w:p w:rsidR="00CA14BE" w:rsidRPr="00C27A0D" w:rsidRDefault="00CA14BE" w:rsidP="00744A72">
      <w:pPr>
        <w:widowControl/>
        <w:tabs>
          <w:tab w:val="center" w:pos="5400"/>
        </w:tabs>
        <w:suppressAutoHyphens/>
        <w:spacing w:before="240" w:after="240"/>
        <w:jc w:val="center"/>
        <w:rPr>
          <w:sz w:val="22"/>
        </w:rPr>
      </w:pPr>
      <w:r w:rsidRPr="00C27A0D">
        <w:rPr>
          <w:sz w:val="22"/>
        </w:rPr>
        <w:t>See accompanying notes.</w:t>
      </w:r>
    </w:p>
    <w:p w:rsidR="00CA14BE" w:rsidRPr="00410ED1" w:rsidRDefault="00744A72" w:rsidP="00744A72">
      <w:pPr>
        <w:widowControl/>
        <w:tabs>
          <w:tab w:val="center" w:pos="5400"/>
        </w:tabs>
        <w:suppressAutoHyphens/>
        <w:spacing w:after="240"/>
        <w:jc w:val="center"/>
        <w:rPr>
          <w:b/>
          <w:bCs/>
          <w:sz w:val="22"/>
        </w:rPr>
      </w:pPr>
      <w:r w:rsidRPr="0053635E">
        <w:rPr>
          <w:highlight w:val="yellow"/>
        </w:rPr>
        <w:br w:type="page"/>
      </w:r>
      <w:r w:rsidR="00CA14BE" w:rsidRPr="00410ED1">
        <w:rPr>
          <w:b/>
          <w:bCs/>
          <w:sz w:val="22"/>
        </w:rPr>
        <w:lastRenderedPageBreak/>
        <w:t>TRAC Intermodal LLC and Subsidiaries</w:t>
      </w:r>
    </w:p>
    <w:p w:rsidR="00CA14BE" w:rsidRPr="00410ED1" w:rsidRDefault="00CA14BE" w:rsidP="00744A72">
      <w:pPr>
        <w:widowControl/>
        <w:tabs>
          <w:tab w:val="center" w:pos="5400"/>
        </w:tabs>
        <w:suppressAutoHyphens/>
        <w:spacing w:after="240"/>
        <w:jc w:val="center"/>
        <w:rPr>
          <w:b/>
          <w:bCs/>
          <w:sz w:val="22"/>
        </w:rPr>
      </w:pPr>
      <w:r w:rsidRPr="00410ED1">
        <w:rPr>
          <w:b/>
          <w:bCs/>
          <w:sz w:val="22"/>
        </w:rPr>
        <w:t xml:space="preserve">Consolidated Statements of Comprehensive </w:t>
      </w:r>
      <w:r w:rsidR="00571D6F" w:rsidRPr="00410ED1">
        <w:rPr>
          <w:b/>
          <w:bCs/>
          <w:sz w:val="22"/>
        </w:rPr>
        <w:t>Income</w:t>
      </w:r>
    </w:p>
    <w:p w:rsidR="00315366" w:rsidRPr="00410ED1" w:rsidRDefault="00315366" w:rsidP="00744A72">
      <w:pPr>
        <w:widowControl/>
        <w:tabs>
          <w:tab w:val="center" w:pos="5400"/>
        </w:tabs>
        <w:suppressAutoHyphens/>
        <w:spacing w:after="240"/>
        <w:jc w:val="center"/>
        <w:rPr>
          <w:b/>
          <w:bCs/>
          <w:sz w:val="22"/>
        </w:rPr>
      </w:pPr>
      <w:r w:rsidRPr="00410ED1">
        <w:rPr>
          <w:b/>
          <w:bCs/>
          <w:sz w:val="22"/>
        </w:rPr>
        <w:t>(Unaudited)</w:t>
      </w:r>
    </w:p>
    <w:p w:rsidR="00744A72" w:rsidRPr="00410ED1" w:rsidRDefault="00571D6F" w:rsidP="00744A72">
      <w:pPr>
        <w:widowControl/>
        <w:tabs>
          <w:tab w:val="center" w:pos="5400"/>
        </w:tabs>
        <w:suppressAutoHyphens/>
        <w:spacing w:after="240"/>
        <w:jc w:val="center"/>
        <w:rPr>
          <w:b/>
          <w:bCs/>
          <w:sz w:val="22"/>
        </w:rPr>
      </w:pPr>
      <w:r w:rsidRPr="00410ED1">
        <w:rPr>
          <w:b/>
          <w:bCs/>
          <w:sz w:val="22"/>
        </w:rPr>
        <w:t xml:space="preserve"> </w:t>
      </w:r>
      <w:r w:rsidR="00CA14BE" w:rsidRPr="00410ED1">
        <w:rPr>
          <w:b/>
          <w:bCs/>
          <w:sz w:val="22"/>
        </w:rPr>
        <w:t>(Dollars in Thousands)</w:t>
      </w:r>
    </w:p>
    <w:p w:rsidR="00571D6F" w:rsidRPr="00410ED1" w:rsidRDefault="00571D6F" w:rsidP="00744A72">
      <w:pPr>
        <w:widowControl/>
        <w:tabs>
          <w:tab w:val="center" w:pos="5400"/>
        </w:tabs>
        <w:suppressAutoHyphens/>
        <w:spacing w:after="240"/>
        <w:jc w:val="center"/>
        <w:rPr>
          <w:b/>
          <w:bCs/>
          <w:sz w:val="22"/>
        </w:rPr>
      </w:pPr>
    </w:p>
    <w:p w:rsidR="00571D6F" w:rsidRPr="0053635E" w:rsidRDefault="00571D6F" w:rsidP="00744A72">
      <w:pPr>
        <w:widowControl/>
        <w:tabs>
          <w:tab w:val="center" w:pos="5400"/>
        </w:tabs>
        <w:suppressAutoHyphens/>
        <w:spacing w:after="240"/>
        <w:jc w:val="center"/>
        <w:rPr>
          <w:b/>
          <w:bCs/>
          <w:sz w:val="22"/>
          <w:highlight w:val="yellow"/>
        </w:rPr>
      </w:pPr>
    </w:p>
    <w:tbl>
      <w:tblPr>
        <w:tblW w:w="4550" w:type="pct"/>
        <w:jc w:val="center"/>
        <w:tblInd w:w="-170" w:type="dxa"/>
        <w:tblCellMar>
          <w:left w:w="72" w:type="dxa"/>
          <w:right w:w="72" w:type="dxa"/>
        </w:tblCellMar>
        <w:tblLook w:val="0000" w:firstRow="0" w:lastRow="0" w:firstColumn="0" w:lastColumn="0" w:noHBand="0" w:noVBand="0"/>
      </w:tblPr>
      <w:tblGrid>
        <w:gridCol w:w="6669"/>
        <w:gridCol w:w="1314"/>
        <w:gridCol w:w="1321"/>
      </w:tblGrid>
      <w:tr w:rsidR="00410ED1" w:rsidRPr="0053635E" w:rsidTr="00410ED1">
        <w:trPr>
          <w:cantSplit/>
          <w:jc w:val="center"/>
        </w:trPr>
        <w:tc>
          <w:tcPr>
            <w:tcW w:w="3584" w:type="pct"/>
            <w:tcBorders>
              <w:top w:val="nil"/>
              <w:left w:val="nil"/>
              <w:bottom w:val="nil"/>
              <w:right w:val="nil"/>
            </w:tcBorders>
          </w:tcPr>
          <w:p w:rsidR="00410ED1" w:rsidRPr="0053635E" w:rsidRDefault="00410ED1" w:rsidP="00EC6B58">
            <w:pPr>
              <w:widowControl/>
              <w:tabs>
                <w:tab w:val="right" w:leader="dot" w:pos="6700"/>
              </w:tabs>
              <w:suppressAutoHyphens/>
              <w:ind w:left="200" w:hanging="200"/>
              <w:rPr>
                <w:b/>
                <w:bCs/>
                <w:sz w:val="22"/>
                <w:highlight w:val="yellow"/>
              </w:rPr>
            </w:pPr>
          </w:p>
        </w:tc>
        <w:tc>
          <w:tcPr>
            <w:tcW w:w="1416" w:type="pct"/>
            <w:gridSpan w:val="2"/>
            <w:tcBorders>
              <w:top w:val="nil"/>
              <w:left w:val="nil"/>
              <w:bottom w:val="nil"/>
              <w:right w:val="nil"/>
            </w:tcBorders>
            <w:vAlign w:val="bottom"/>
          </w:tcPr>
          <w:p w:rsidR="00410ED1" w:rsidRPr="00C430F9" w:rsidRDefault="00410ED1" w:rsidP="00EA432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b/>
                <w:sz w:val="22"/>
              </w:rPr>
            </w:pPr>
            <w:r w:rsidRPr="00C430F9">
              <w:rPr>
                <w:b/>
                <w:sz w:val="22"/>
              </w:rPr>
              <w:t>Three Months</w:t>
            </w:r>
          </w:p>
          <w:p w:rsidR="00410ED1" w:rsidRPr="00C430F9" w:rsidRDefault="00410ED1" w:rsidP="00EA432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b/>
                <w:sz w:val="22"/>
              </w:rPr>
            </w:pPr>
            <w:r w:rsidRPr="00C430F9">
              <w:rPr>
                <w:b/>
                <w:sz w:val="22"/>
              </w:rPr>
              <w:t xml:space="preserve"> Ended</w:t>
            </w:r>
          </w:p>
        </w:tc>
      </w:tr>
      <w:tr w:rsidR="00410ED1" w:rsidRPr="0053635E" w:rsidTr="00410ED1">
        <w:trPr>
          <w:cantSplit/>
          <w:jc w:val="center"/>
        </w:trPr>
        <w:tc>
          <w:tcPr>
            <w:tcW w:w="3584" w:type="pct"/>
            <w:tcBorders>
              <w:top w:val="nil"/>
              <w:left w:val="nil"/>
              <w:bottom w:val="nil"/>
              <w:right w:val="nil"/>
            </w:tcBorders>
          </w:tcPr>
          <w:p w:rsidR="00410ED1" w:rsidRPr="0053635E" w:rsidRDefault="00410ED1" w:rsidP="00EC6B58">
            <w:pPr>
              <w:widowControl/>
              <w:tabs>
                <w:tab w:val="right" w:leader="dot" w:pos="6700"/>
              </w:tabs>
              <w:suppressAutoHyphens/>
              <w:ind w:left="200" w:hanging="200"/>
              <w:rPr>
                <w:b/>
                <w:bCs/>
                <w:sz w:val="22"/>
                <w:highlight w:val="yellow"/>
              </w:rPr>
            </w:pPr>
          </w:p>
        </w:tc>
        <w:tc>
          <w:tcPr>
            <w:tcW w:w="1416" w:type="pct"/>
            <w:gridSpan w:val="2"/>
            <w:tcBorders>
              <w:top w:val="nil"/>
              <w:left w:val="nil"/>
              <w:bottom w:val="nil"/>
              <w:right w:val="nil"/>
            </w:tcBorders>
            <w:vAlign w:val="bottom"/>
          </w:tcPr>
          <w:p w:rsidR="00410ED1" w:rsidRPr="00C430F9" w:rsidRDefault="00410ED1" w:rsidP="00410E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C430F9">
              <w:rPr>
                <w:b/>
                <w:bCs/>
                <w:sz w:val="22"/>
              </w:rPr>
              <w:t>March  31,</w:t>
            </w:r>
          </w:p>
        </w:tc>
      </w:tr>
      <w:tr w:rsidR="00410ED1" w:rsidRPr="00C430F9" w:rsidTr="00410ED1">
        <w:trPr>
          <w:cantSplit/>
          <w:jc w:val="center"/>
        </w:trPr>
        <w:tc>
          <w:tcPr>
            <w:tcW w:w="3584" w:type="pct"/>
            <w:tcBorders>
              <w:top w:val="nil"/>
              <w:left w:val="nil"/>
              <w:bottom w:val="nil"/>
              <w:right w:val="nil"/>
            </w:tcBorders>
          </w:tcPr>
          <w:p w:rsidR="00410ED1" w:rsidRPr="0053635E" w:rsidRDefault="00410ED1" w:rsidP="00EC6B58">
            <w:pPr>
              <w:widowControl/>
              <w:tabs>
                <w:tab w:val="right" w:leader="dot" w:pos="6700"/>
              </w:tabs>
              <w:suppressAutoHyphens/>
              <w:ind w:left="200" w:hanging="200"/>
              <w:rPr>
                <w:b/>
                <w:bCs/>
                <w:sz w:val="22"/>
                <w:highlight w:val="yellow"/>
              </w:rPr>
            </w:pPr>
          </w:p>
        </w:tc>
        <w:tc>
          <w:tcPr>
            <w:tcW w:w="706" w:type="pct"/>
            <w:tcBorders>
              <w:top w:val="nil"/>
              <w:left w:val="nil"/>
              <w:bottom w:val="nil"/>
              <w:right w:val="nil"/>
            </w:tcBorders>
            <w:vAlign w:val="bottom"/>
          </w:tcPr>
          <w:p w:rsidR="00410ED1" w:rsidRPr="00C430F9" w:rsidRDefault="00410ED1" w:rsidP="00410E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C430F9">
              <w:rPr>
                <w:b/>
                <w:bCs/>
                <w:sz w:val="22"/>
              </w:rPr>
              <w:t>2014</w:t>
            </w:r>
          </w:p>
        </w:tc>
        <w:tc>
          <w:tcPr>
            <w:tcW w:w="710" w:type="pct"/>
            <w:tcBorders>
              <w:top w:val="nil"/>
              <w:left w:val="nil"/>
              <w:bottom w:val="nil"/>
              <w:right w:val="nil"/>
            </w:tcBorders>
            <w:vAlign w:val="bottom"/>
          </w:tcPr>
          <w:p w:rsidR="00410ED1" w:rsidRPr="00C430F9" w:rsidRDefault="00410ED1" w:rsidP="00410E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C430F9">
              <w:rPr>
                <w:b/>
                <w:bCs/>
                <w:sz w:val="22"/>
              </w:rPr>
              <w:t>2013</w:t>
            </w:r>
          </w:p>
        </w:tc>
      </w:tr>
      <w:tr w:rsidR="00410ED1" w:rsidRPr="0053635E" w:rsidTr="00410ED1">
        <w:trPr>
          <w:cantSplit/>
          <w:jc w:val="center"/>
        </w:trPr>
        <w:tc>
          <w:tcPr>
            <w:tcW w:w="3584" w:type="pct"/>
            <w:tcBorders>
              <w:top w:val="nil"/>
              <w:left w:val="nil"/>
              <w:bottom w:val="nil"/>
              <w:right w:val="nil"/>
            </w:tcBorders>
          </w:tcPr>
          <w:p w:rsidR="00410ED1" w:rsidRPr="0053635E" w:rsidRDefault="00410ED1" w:rsidP="00EC6B58">
            <w:pPr>
              <w:widowControl/>
              <w:tabs>
                <w:tab w:val="right" w:leader="dot" w:pos="6700"/>
              </w:tabs>
              <w:suppressAutoHyphens/>
              <w:ind w:left="200" w:hanging="200"/>
              <w:rPr>
                <w:b/>
                <w:bCs/>
                <w:sz w:val="22"/>
                <w:highlight w:val="yellow"/>
              </w:rPr>
            </w:pPr>
          </w:p>
        </w:tc>
        <w:tc>
          <w:tcPr>
            <w:tcW w:w="706" w:type="pct"/>
            <w:tcBorders>
              <w:top w:val="nil"/>
              <w:left w:val="nil"/>
              <w:bottom w:val="nil"/>
              <w:right w:val="nil"/>
            </w:tcBorders>
            <w:vAlign w:val="bottom"/>
          </w:tcPr>
          <w:p w:rsidR="00410ED1" w:rsidRPr="0053635E" w:rsidRDefault="00410ED1" w:rsidP="0066762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710" w:type="pct"/>
            <w:tcBorders>
              <w:top w:val="nil"/>
              <w:left w:val="nil"/>
              <w:bottom w:val="nil"/>
              <w:right w:val="nil"/>
            </w:tcBorders>
            <w:vAlign w:val="bottom"/>
          </w:tcPr>
          <w:p w:rsidR="00410ED1" w:rsidRPr="0053635E" w:rsidRDefault="00410ED1" w:rsidP="009167D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410ED1" w:rsidRPr="001354F0" w:rsidTr="00410ED1">
        <w:trPr>
          <w:cantSplit/>
          <w:jc w:val="center"/>
        </w:trPr>
        <w:tc>
          <w:tcPr>
            <w:tcW w:w="3584" w:type="pct"/>
            <w:tcBorders>
              <w:top w:val="nil"/>
              <w:left w:val="nil"/>
              <w:bottom w:val="nil"/>
              <w:right w:val="nil"/>
            </w:tcBorders>
          </w:tcPr>
          <w:p w:rsidR="00410ED1" w:rsidRPr="001354F0" w:rsidRDefault="00410ED1" w:rsidP="00734049">
            <w:pPr>
              <w:widowControl/>
              <w:suppressAutoHyphens/>
              <w:ind w:left="200" w:hanging="200"/>
              <w:rPr>
                <w:sz w:val="22"/>
              </w:rPr>
            </w:pPr>
            <w:r w:rsidRPr="001354F0">
              <w:rPr>
                <w:b/>
                <w:bCs/>
                <w:sz w:val="22"/>
              </w:rPr>
              <w:t xml:space="preserve">Net </w:t>
            </w:r>
            <w:r w:rsidR="00C430F9" w:rsidRPr="001354F0">
              <w:rPr>
                <w:b/>
                <w:bCs/>
                <w:sz w:val="22"/>
              </w:rPr>
              <w:t>income (</w:t>
            </w:r>
            <w:r w:rsidRPr="001354F0">
              <w:rPr>
                <w:b/>
                <w:bCs/>
                <w:sz w:val="22"/>
              </w:rPr>
              <w:t>loss</w:t>
            </w:r>
            <w:r w:rsidR="00C430F9" w:rsidRPr="001354F0">
              <w:rPr>
                <w:b/>
                <w:bCs/>
                <w:sz w:val="22"/>
              </w:rPr>
              <w:t>)</w:t>
            </w:r>
            <w:r w:rsidRPr="001354F0">
              <w:rPr>
                <w:sz w:val="22"/>
              </w:rPr>
              <w:tab/>
            </w:r>
          </w:p>
        </w:tc>
        <w:tc>
          <w:tcPr>
            <w:tcW w:w="706" w:type="pct"/>
            <w:tcBorders>
              <w:top w:val="nil"/>
              <w:left w:val="nil"/>
              <w:bottom w:val="nil"/>
              <w:right w:val="nil"/>
            </w:tcBorders>
            <w:vAlign w:val="bottom"/>
          </w:tcPr>
          <w:p w:rsidR="00410ED1" w:rsidRPr="001354F0" w:rsidRDefault="00410ED1" w:rsidP="001354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1354F0">
              <w:rPr>
                <w:sz w:val="22"/>
              </w:rPr>
              <w:t xml:space="preserve">$      </w:t>
            </w:r>
            <w:r w:rsidR="001354F0" w:rsidRPr="001354F0">
              <w:rPr>
                <w:sz w:val="22"/>
              </w:rPr>
              <w:t xml:space="preserve">   </w:t>
            </w:r>
            <w:r w:rsidRPr="001354F0">
              <w:rPr>
                <w:sz w:val="22"/>
              </w:rPr>
              <w:t xml:space="preserve"> </w:t>
            </w:r>
            <w:r w:rsidR="001354F0" w:rsidRPr="001354F0">
              <w:rPr>
                <w:sz w:val="22"/>
              </w:rPr>
              <w:t>5</w:t>
            </w:r>
            <w:r w:rsidRPr="001354F0">
              <w:rPr>
                <w:sz w:val="22"/>
              </w:rPr>
              <w:t>,</w:t>
            </w:r>
            <w:r w:rsidR="001354F0" w:rsidRPr="001354F0">
              <w:rPr>
                <w:sz w:val="22"/>
              </w:rPr>
              <w:t>474</w:t>
            </w:r>
          </w:p>
        </w:tc>
        <w:tc>
          <w:tcPr>
            <w:tcW w:w="710" w:type="pct"/>
            <w:tcBorders>
              <w:top w:val="nil"/>
              <w:left w:val="nil"/>
              <w:bottom w:val="nil"/>
              <w:right w:val="nil"/>
            </w:tcBorders>
            <w:vAlign w:val="bottom"/>
          </w:tcPr>
          <w:p w:rsidR="00410ED1" w:rsidRPr="001354F0" w:rsidRDefault="00410ED1" w:rsidP="00C430F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1354F0">
              <w:rPr>
                <w:sz w:val="22"/>
              </w:rPr>
              <w:t>$</w:t>
            </w:r>
            <w:r w:rsidR="00C430F9" w:rsidRPr="001354F0">
              <w:rPr>
                <w:sz w:val="22"/>
              </w:rPr>
              <w:t xml:space="preserve">    </w:t>
            </w:r>
            <w:r w:rsidRPr="001354F0">
              <w:rPr>
                <w:sz w:val="22"/>
              </w:rPr>
              <w:t xml:space="preserve">      (4</w:t>
            </w:r>
            <w:r w:rsidR="00C430F9" w:rsidRPr="001354F0">
              <w:rPr>
                <w:sz w:val="22"/>
              </w:rPr>
              <w:t>35</w:t>
            </w:r>
            <w:r w:rsidRPr="001354F0">
              <w:rPr>
                <w:sz w:val="22"/>
              </w:rPr>
              <w:t>)</w:t>
            </w:r>
          </w:p>
        </w:tc>
      </w:tr>
      <w:tr w:rsidR="00410ED1" w:rsidRPr="001354F0" w:rsidTr="00410ED1">
        <w:trPr>
          <w:cantSplit/>
          <w:jc w:val="center"/>
        </w:trPr>
        <w:tc>
          <w:tcPr>
            <w:tcW w:w="3584" w:type="pct"/>
            <w:tcBorders>
              <w:top w:val="nil"/>
              <w:left w:val="nil"/>
              <w:bottom w:val="nil"/>
              <w:right w:val="nil"/>
            </w:tcBorders>
          </w:tcPr>
          <w:p w:rsidR="00E81F21" w:rsidRPr="001354F0" w:rsidRDefault="00410ED1" w:rsidP="00E81F21">
            <w:pPr>
              <w:widowControl/>
              <w:suppressAutoHyphens/>
              <w:ind w:left="400" w:hanging="200"/>
              <w:rPr>
                <w:sz w:val="22"/>
              </w:rPr>
            </w:pPr>
            <w:r w:rsidRPr="001354F0">
              <w:rPr>
                <w:sz w:val="22"/>
              </w:rPr>
              <w:t xml:space="preserve">Unrealized </w:t>
            </w:r>
            <w:r w:rsidR="00E81F21" w:rsidRPr="001354F0">
              <w:rPr>
                <w:sz w:val="22"/>
              </w:rPr>
              <w:t>loss</w:t>
            </w:r>
            <w:r w:rsidRPr="001354F0">
              <w:rPr>
                <w:sz w:val="22"/>
              </w:rPr>
              <w:t xml:space="preserve"> on derivative instruments, net of tax of</w:t>
            </w:r>
          </w:p>
          <w:p w:rsidR="00410ED1" w:rsidRPr="001354F0" w:rsidRDefault="00410ED1" w:rsidP="00EF66D8">
            <w:pPr>
              <w:widowControl/>
              <w:suppressAutoHyphens/>
              <w:ind w:left="400" w:hanging="200"/>
              <w:rPr>
                <w:sz w:val="22"/>
              </w:rPr>
            </w:pPr>
            <w:r w:rsidRPr="001354F0">
              <w:rPr>
                <w:sz w:val="22"/>
              </w:rPr>
              <w:t xml:space="preserve"> $</w:t>
            </w:r>
            <w:r w:rsidR="00EF66D8" w:rsidRPr="001354F0">
              <w:rPr>
                <w:sz w:val="22"/>
              </w:rPr>
              <w:t>89</w:t>
            </w:r>
            <w:r w:rsidRPr="001354F0">
              <w:rPr>
                <w:sz w:val="22"/>
              </w:rPr>
              <w:t xml:space="preserve"> and $</w:t>
            </w:r>
            <w:r w:rsidR="00E81F21" w:rsidRPr="001354F0">
              <w:rPr>
                <w:sz w:val="22"/>
              </w:rPr>
              <w:t>180</w:t>
            </w:r>
            <w:r w:rsidRPr="001354F0">
              <w:rPr>
                <w:sz w:val="22"/>
              </w:rPr>
              <w:t>, respectively</w:t>
            </w:r>
          </w:p>
        </w:tc>
        <w:tc>
          <w:tcPr>
            <w:tcW w:w="706" w:type="pct"/>
            <w:tcBorders>
              <w:top w:val="nil"/>
              <w:left w:val="nil"/>
              <w:bottom w:val="nil"/>
              <w:right w:val="nil"/>
            </w:tcBorders>
            <w:vAlign w:val="bottom"/>
          </w:tcPr>
          <w:p w:rsidR="00410ED1" w:rsidRPr="001354F0" w:rsidRDefault="00410ED1" w:rsidP="00EF66D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1354F0">
              <w:rPr>
                <w:sz w:val="22"/>
              </w:rPr>
              <w:t>(1</w:t>
            </w:r>
            <w:r w:rsidR="00EF66D8" w:rsidRPr="001354F0">
              <w:rPr>
                <w:sz w:val="22"/>
              </w:rPr>
              <w:t>36</w:t>
            </w:r>
            <w:r w:rsidRPr="001354F0">
              <w:rPr>
                <w:sz w:val="22"/>
              </w:rPr>
              <w:t>)</w:t>
            </w:r>
          </w:p>
        </w:tc>
        <w:tc>
          <w:tcPr>
            <w:tcW w:w="710" w:type="pct"/>
            <w:tcBorders>
              <w:top w:val="nil"/>
              <w:left w:val="nil"/>
              <w:bottom w:val="nil"/>
              <w:right w:val="nil"/>
            </w:tcBorders>
            <w:vAlign w:val="bottom"/>
          </w:tcPr>
          <w:p w:rsidR="00410ED1" w:rsidRPr="001354F0" w:rsidRDefault="00410ED1" w:rsidP="00C430F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1354F0">
              <w:rPr>
                <w:sz w:val="22"/>
              </w:rPr>
              <w:t>(</w:t>
            </w:r>
            <w:r w:rsidR="00C430F9" w:rsidRPr="001354F0">
              <w:rPr>
                <w:sz w:val="22"/>
              </w:rPr>
              <w:t>279</w:t>
            </w:r>
            <w:r w:rsidRPr="001354F0">
              <w:rPr>
                <w:sz w:val="22"/>
              </w:rPr>
              <w:t>)</w:t>
            </w:r>
          </w:p>
        </w:tc>
      </w:tr>
      <w:tr w:rsidR="00410ED1" w:rsidRPr="001354F0" w:rsidTr="00410ED1">
        <w:trPr>
          <w:cantSplit/>
          <w:jc w:val="center"/>
        </w:trPr>
        <w:tc>
          <w:tcPr>
            <w:tcW w:w="3584" w:type="pct"/>
            <w:tcBorders>
              <w:top w:val="nil"/>
              <w:left w:val="nil"/>
              <w:bottom w:val="nil"/>
              <w:right w:val="nil"/>
            </w:tcBorders>
          </w:tcPr>
          <w:p w:rsidR="00410ED1" w:rsidRPr="001354F0" w:rsidRDefault="00410ED1" w:rsidP="00EF66D8">
            <w:pPr>
              <w:widowControl/>
              <w:suppressAutoHyphens/>
              <w:ind w:left="400" w:hanging="200"/>
              <w:rPr>
                <w:sz w:val="22"/>
              </w:rPr>
            </w:pPr>
            <w:r w:rsidRPr="001354F0">
              <w:rPr>
                <w:sz w:val="22"/>
              </w:rPr>
              <w:t>Derivative loss reclassified into earnings, net of tax of ($</w:t>
            </w:r>
            <w:r w:rsidR="00EF66D8" w:rsidRPr="001354F0">
              <w:rPr>
                <w:sz w:val="22"/>
              </w:rPr>
              <w:t>1</w:t>
            </w:r>
            <w:r w:rsidRPr="001354F0">
              <w:rPr>
                <w:sz w:val="22"/>
              </w:rPr>
              <w:t>,</w:t>
            </w:r>
            <w:r w:rsidR="00EF66D8" w:rsidRPr="001354F0">
              <w:rPr>
                <w:sz w:val="22"/>
              </w:rPr>
              <w:t>814</w:t>
            </w:r>
            <w:r w:rsidRPr="001354F0">
              <w:rPr>
                <w:sz w:val="22"/>
              </w:rPr>
              <w:t>)</w:t>
            </w:r>
            <w:r w:rsidR="00511B8D" w:rsidRPr="001354F0">
              <w:rPr>
                <w:sz w:val="22"/>
              </w:rPr>
              <w:t xml:space="preserve">        </w:t>
            </w:r>
            <w:r w:rsidRPr="001354F0">
              <w:rPr>
                <w:sz w:val="22"/>
              </w:rPr>
              <w:t xml:space="preserve"> and ($2,</w:t>
            </w:r>
            <w:r w:rsidR="00511B8D" w:rsidRPr="001354F0">
              <w:rPr>
                <w:sz w:val="22"/>
              </w:rPr>
              <w:t>049</w:t>
            </w:r>
            <w:r w:rsidRPr="001354F0">
              <w:rPr>
                <w:sz w:val="22"/>
              </w:rPr>
              <w:t>), respectively</w:t>
            </w:r>
            <w:r w:rsidRPr="001354F0">
              <w:rPr>
                <w:sz w:val="22"/>
              </w:rPr>
              <w:tab/>
            </w:r>
          </w:p>
        </w:tc>
        <w:tc>
          <w:tcPr>
            <w:tcW w:w="706" w:type="pct"/>
            <w:tcBorders>
              <w:top w:val="nil"/>
              <w:left w:val="nil"/>
              <w:bottom w:val="nil"/>
              <w:right w:val="nil"/>
            </w:tcBorders>
            <w:vAlign w:val="bottom"/>
          </w:tcPr>
          <w:p w:rsidR="00410ED1" w:rsidRPr="001354F0" w:rsidRDefault="00410ED1" w:rsidP="00EF66D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1354F0">
              <w:rPr>
                <w:sz w:val="22"/>
              </w:rPr>
              <w:t>2,</w:t>
            </w:r>
            <w:r w:rsidR="00EF66D8" w:rsidRPr="001354F0">
              <w:rPr>
                <w:sz w:val="22"/>
              </w:rPr>
              <w:t>792</w:t>
            </w:r>
          </w:p>
        </w:tc>
        <w:tc>
          <w:tcPr>
            <w:tcW w:w="710" w:type="pct"/>
            <w:tcBorders>
              <w:top w:val="nil"/>
              <w:left w:val="nil"/>
              <w:bottom w:val="nil"/>
              <w:right w:val="nil"/>
            </w:tcBorders>
            <w:vAlign w:val="bottom"/>
          </w:tcPr>
          <w:p w:rsidR="00410ED1" w:rsidRPr="001354F0" w:rsidRDefault="00C430F9" w:rsidP="00C430F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1354F0">
              <w:rPr>
                <w:sz w:val="22"/>
              </w:rPr>
              <w:t>3</w:t>
            </w:r>
            <w:r w:rsidR="00410ED1" w:rsidRPr="001354F0">
              <w:rPr>
                <w:sz w:val="22"/>
              </w:rPr>
              <w:t>,</w:t>
            </w:r>
            <w:r w:rsidRPr="001354F0">
              <w:rPr>
                <w:sz w:val="22"/>
              </w:rPr>
              <w:t>168</w:t>
            </w:r>
          </w:p>
        </w:tc>
      </w:tr>
      <w:tr w:rsidR="00410ED1" w:rsidRPr="001354F0" w:rsidTr="00410ED1">
        <w:trPr>
          <w:cantSplit/>
          <w:jc w:val="center"/>
        </w:trPr>
        <w:tc>
          <w:tcPr>
            <w:tcW w:w="3584" w:type="pct"/>
            <w:tcBorders>
              <w:top w:val="nil"/>
              <w:left w:val="nil"/>
              <w:bottom w:val="nil"/>
              <w:right w:val="nil"/>
            </w:tcBorders>
          </w:tcPr>
          <w:p w:rsidR="00410ED1" w:rsidRPr="001354F0" w:rsidRDefault="00410ED1" w:rsidP="001354F0">
            <w:pPr>
              <w:widowControl/>
              <w:suppressAutoHyphens/>
              <w:spacing w:after="20"/>
              <w:ind w:left="400" w:hanging="200"/>
              <w:rPr>
                <w:sz w:val="22"/>
              </w:rPr>
            </w:pPr>
            <w:r w:rsidRPr="001354F0">
              <w:rPr>
                <w:sz w:val="22"/>
              </w:rPr>
              <w:t>Foreign currency translation loss, net of tax of  $1</w:t>
            </w:r>
            <w:r w:rsidR="001354F0" w:rsidRPr="001354F0">
              <w:rPr>
                <w:sz w:val="22"/>
              </w:rPr>
              <w:t>30</w:t>
            </w:r>
            <w:r w:rsidR="00511B8D" w:rsidRPr="001354F0">
              <w:rPr>
                <w:sz w:val="22"/>
              </w:rPr>
              <w:t xml:space="preserve"> </w:t>
            </w:r>
            <w:r w:rsidRPr="001354F0">
              <w:rPr>
                <w:sz w:val="22"/>
              </w:rPr>
              <w:t>and $</w:t>
            </w:r>
            <w:r w:rsidR="00511B8D" w:rsidRPr="001354F0">
              <w:rPr>
                <w:sz w:val="22"/>
              </w:rPr>
              <w:t>102</w:t>
            </w:r>
            <w:r w:rsidRPr="001354F0">
              <w:rPr>
                <w:sz w:val="22"/>
              </w:rPr>
              <w:t>, respectively</w:t>
            </w:r>
            <w:r w:rsidRPr="001354F0">
              <w:rPr>
                <w:sz w:val="22"/>
              </w:rPr>
              <w:tab/>
            </w:r>
          </w:p>
        </w:tc>
        <w:tc>
          <w:tcPr>
            <w:tcW w:w="706" w:type="pct"/>
            <w:tcBorders>
              <w:top w:val="nil"/>
              <w:left w:val="nil"/>
              <w:bottom w:val="nil"/>
              <w:right w:val="nil"/>
            </w:tcBorders>
            <w:vAlign w:val="bottom"/>
          </w:tcPr>
          <w:p w:rsidR="00410ED1" w:rsidRPr="001354F0" w:rsidRDefault="001354F0" w:rsidP="001354F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1354F0">
              <w:rPr>
                <w:sz w:val="22"/>
              </w:rPr>
              <w:t>(207)</w:t>
            </w:r>
          </w:p>
        </w:tc>
        <w:tc>
          <w:tcPr>
            <w:tcW w:w="710" w:type="pct"/>
            <w:tcBorders>
              <w:top w:val="nil"/>
              <w:left w:val="nil"/>
              <w:bottom w:val="nil"/>
              <w:right w:val="nil"/>
            </w:tcBorders>
            <w:vAlign w:val="bottom"/>
          </w:tcPr>
          <w:p w:rsidR="00410ED1" w:rsidRPr="001354F0" w:rsidRDefault="00C430F9" w:rsidP="00C430F9">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1354F0">
              <w:rPr>
                <w:sz w:val="22"/>
              </w:rPr>
              <w:t>(155)</w:t>
            </w:r>
          </w:p>
        </w:tc>
      </w:tr>
      <w:tr w:rsidR="00410ED1" w:rsidRPr="001354F0" w:rsidTr="00410ED1">
        <w:trPr>
          <w:cantSplit/>
          <w:jc w:val="center"/>
        </w:trPr>
        <w:tc>
          <w:tcPr>
            <w:tcW w:w="3584" w:type="pct"/>
            <w:tcBorders>
              <w:top w:val="nil"/>
              <w:left w:val="nil"/>
              <w:bottom w:val="nil"/>
              <w:right w:val="nil"/>
            </w:tcBorders>
          </w:tcPr>
          <w:p w:rsidR="00410ED1" w:rsidRPr="001354F0" w:rsidRDefault="00410ED1" w:rsidP="00511B8D">
            <w:pPr>
              <w:widowControl/>
              <w:suppressAutoHyphens/>
              <w:spacing w:after="20"/>
              <w:ind w:left="200" w:hanging="200"/>
              <w:rPr>
                <w:sz w:val="22"/>
              </w:rPr>
            </w:pPr>
            <w:r w:rsidRPr="001354F0">
              <w:rPr>
                <w:b/>
                <w:bCs/>
                <w:sz w:val="22"/>
              </w:rPr>
              <w:t>Total other comprehensive income, net of tax</w:t>
            </w:r>
            <w:r w:rsidRPr="001354F0">
              <w:rPr>
                <w:sz w:val="22"/>
              </w:rPr>
              <w:tab/>
            </w:r>
          </w:p>
        </w:tc>
        <w:tc>
          <w:tcPr>
            <w:tcW w:w="706" w:type="pct"/>
            <w:tcBorders>
              <w:top w:val="nil"/>
              <w:left w:val="nil"/>
              <w:bottom w:val="nil"/>
              <w:right w:val="nil"/>
            </w:tcBorders>
            <w:vAlign w:val="bottom"/>
          </w:tcPr>
          <w:p w:rsidR="00410ED1" w:rsidRPr="001354F0" w:rsidRDefault="001354F0" w:rsidP="001354F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1354F0">
              <w:rPr>
                <w:sz w:val="22"/>
              </w:rPr>
              <w:t>2,449</w:t>
            </w:r>
          </w:p>
        </w:tc>
        <w:tc>
          <w:tcPr>
            <w:tcW w:w="710" w:type="pct"/>
            <w:tcBorders>
              <w:top w:val="nil"/>
              <w:left w:val="nil"/>
              <w:bottom w:val="nil"/>
              <w:right w:val="nil"/>
            </w:tcBorders>
            <w:vAlign w:val="bottom"/>
          </w:tcPr>
          <w:p w:rsidR="00410ED1" w:rsidRPr="001354F0" w:rsidRDefault="00410ED1" w:rsidP="00C430F9">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1354F0">
              <w:rPr>
                <w:sz w:val="22"/>
              </w:rPr>
              <w:t>2,</w:t>
            </w:r>
            <w:r w:rsidR="00C430F9" w:rsidRPr="001354F0">
              <w:rPr>
                <w:sz w:val="22"/>
              </w:rPr>
              <w:t>734</w:t>
            </w:r>
          </w:p>
        </w:tc>
      </w:tr>
      <w:tr w:rsidR="00410ED1" w:rsidRPr="001354F0" w:rsidTr="00410ED1">
        <w:trPr>
          <w:cantSplit/>
          <w:jc w:val="center"/>
        </w:trPr>
        <w:tc>
          <w:tcPr>
            <w:tcW w:w="3584" w:type="pct"/>
            <w:tcBorders>
              <w:top w:val="nil"/>
              <w:left w:val="nil"/>
              <w:bottom w:val="nil"/>
              <w:right w:val="nil"/>
            </w:tcBorders>
          </w:tcPr>
          <w:p w:rsidR="00410ED1" w:rsidRPr="001354F0" w:rsidRDefault="00410ED1" w:rsidP="00511B8D">
            <w:pPr>
              <w:widowControl/>
              <w:suppressAutoHyphens/>
              <w:spacing w:after="40"/>
              <w:ind w:left="200" w:hanging="200"/>
              <w:rPr>
                <w:sz w:val="22"/>
              </w:rPr>
            </w:pPr>
            <w:r w:rsidRPr="001354F0">
              <w:rPr>
                <w:b/>
                <w:bCs/>
                <w:sz w:val="22"/>
              </w:rPr>
              <w:t>Total comprehensive income</w:t>
            </w:r>
          </w:p>
        </w:tc>
        <w:tc>
          <w:tcPr>
            <w:tcW w:w="706" w:type="pct"/>
            <w:tcBorders>
              <w:top w:val="nil"/>
              <w:left w:val="nil"/>
              <w:bottom w:val="nil"/>
              <w:right w:val="nil"/>
            </w:tcBorders>
            <w:vAlign w:val="bottom"/>
          </w:tcPr>
          <w:p w:rsidR="00410ED1" w:rsidRPr="001354F0" w:rsidRDefault="00410ED1" w:rsidP="001354F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1354F0">
              <w:rPr>
                <w:sz w:val="22"/>
              </w:rPr>
              <w:t xml:space="preserve">$   </w:t>
            </w:r>
            <w:r w:rsidR="001354F0" w:rsidRPr="001354F0">
              <w:rPr>
                <w:sz w:val="22"/>
              </w:rPr>
              <w:t xml:space="preserve">      </w:t>
            </w:r>
            <w:r w:rsidRPr="001354F0">
              <w:rPr>
                <w:sz w:val="22"/>
              </w:rPr>
              <w:t xml:space="preserve"> </w:t>
            </w:r>
            <w:r w:rsidR="001354F0" w:rsidRPr="001354F0">
              <w:rPr>
                <w:sz w:val="22"/>
              </w:rPr>
              <w:t>7</w:t>
            </w:r>
            <w:r w:rsidRPr="001354F0">
              <w:rPr>
                <w:sz w:val="22"/>
              </w:rPr>
              <w:t>,</w:t>
            </w:r>
            <w:r w:rsidR="001354F0" w:rsidRPr="001354F0">
              <w:rPr>
                <w:sz w:val="22"/>
              </w:rPr>
              <w:t>923</w:t>
            </w:r>
          </w:p>
        </w:tc>
        <w:tc>
          <w:tcPr>
            <w:tcW w:w="710" w:type="pct"/>
            <w:tcBorders>
              <w:top w:val="nil"/>
              <w:left w:val="nil"/>
              <w:bottom w:val="nil"/>
              <w:right w:val="nil"/>
            </w:tcBorders>
            <w:vAlign w:val="bottom"/>
          </w:tcPr>
          <w:p w:rsidR="00410ED1" w:rsidRPr="001354F0" w:rsidRDefault="00410ED1" w:rsidP="00C430F9">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1354F0">
              <w:rPr>
                <w:sz w:val="22"/>
              </w:rPr>
              <w:t>$</w:t>
            </w:r>
            <w:r w:rsidR="00C430F9" w:rsidRPr="001354F0">
              <w:rPr>
                <w:sz w:val="22"/>
              </w:rPr>
              <w:t xml:space="preserve">        </w:t>
            </w:r>
            <w:r w:rsidRPr="001354F0">
              <w:rPr>
                <w:sz w:val="22"/>
              </w:rPr>
              <w:t xml:space="preserve">  </w:t>
            </w:r>
            <w:r w:rsidR="00C430F9" w:rsidRPr="001354F0">
              <w:rPr>
                <w:sz w:val="22"/>
              </w:rPr>
              <w:t>2</w:t>
            </w:r>
            <w:r w:rsidRPr="001354F0">
              <w:rPr>
                <w:sz w:val="22"/>
              </w:rPr>
              <w:t>,</w:t>
            </w:r>
            <w:r w:rsidR="00C430F9" w:rsidRPr="001354F0">
              <w:rPr>
                <w:sz w:val="22"/>
              </w:rPr>
              <w:t>299</w:t>
            </w:r>
          </w:p>
        </w:tc>
      </w:tr>
    </w:tbl>
    <w:p w:rsidR="00734049" w:rsidRPr="001354F0" w:rsidRDefault="00734049" w:rsidP="00744A72">
      <w:pPr>
        <w:widowControl/>
        <w:tabs>
          <w:tab w:val="center" w:pos="5400"/>
        </w:tabs>
        <w:suppressAutoHyphens/>
        <w:spacing w:before="240" w:after="240"/>
        <w:jc w:val="center"/>
        <w:rPr>
          <w:sz w:val="22"/>
        </w:rPr>
      </w:pPr>
    </w:p>
    <w:p w:rsidR="00CA14BE" w:rsidRPr="00C430F9" w:rsidRDefault="00CA14BE" w:rsidP="00744A72">
      <w:pPr>
        <w:widowControl/>
        <w:tabs>
          <w:tab w:val="center" w:pos="5400"/>
        </w:tabs>
        <w:suppressAutoHyphens/>
        <w:spacing w:before="240" w:after="240"/>
        <w:jc w:val="center"/>
        <w:rPr>
          <w:sz w:val="22"/>
        </w:rPr>
      </w:pPr>
      <w:r w:rsidRPr="00C430F9">
        <w:rPr>
          <w:sz w:val="22"/>
        </w:rPr>
        <w:t>See accompanying notes.</w:t>
      </w:r>
    </w:p>
    <w:p w:rsidR="00CA14BE" w:rsidRPr="00043DF3" w:rsidRDefault="00744A72" w:rsidP="00560013">
      <w:pPr>
        <w:widowControl/>
        <w:tabs>
          <w:tab w:val="center" w:pos="5400"/>
        </w:tabs>
        <w:suppressAutoHyphens/>
        <w:spacing w:after="240"/>
        <w:jc w:val="center"/>
        <w:rPr>
          <w:b/>
          <w:bCs/>
          <w:sz w:val="24"/>
          <w:szCs w:val="24"/>
        </w:rPr>
      </w:pPr>
      <w:r w:rsidRPr="0053635E">
        <w:rPr>
          <w:highlight w:val="yellow"/>
        </w:rPr>
        <w:br w:type="page"/>
      </w:r>
      <w:r w:rsidR="00CA14BE" w:rsidRPr="00043DF3">
        <w:rPr>
          <w:b/>
          <w:bCs/>
          <w:sz w:val="24"/>
          <w:szCs w:val="24"/>
        </w:rPr>
        <w:lastRenderedPageBreak/>
        <w:t>TRAC Intermodal LLC and Subsidiaries</w:t>
      </w:r>
    </w:p>
    <w:p w:rsidR="00CA14BE" w:rsidRPr="00043DF3" w:rsidRDefault="00CA14BE" w:rsidP="00744A72">
      <w:pPr>
        <w:widowControl/>
        <w:tabs>
          <w:tab w:val="center" w:pos="5400"/>
        </w:tabs>
        <w:suppressAutoHyphens/>
        <w:spacing w:after="240"/>
        <w:jc w:val="center"/>
        <w:rPr>
          <w:b/>
          <w:bCs/>
          <w:sz w:val="24"/>
          <w:szCs w:val="24"/>
        </w:rPr>
      </w:pPr>
      <w:r w:rsidRPr="00043DF3">
        <w:rPr>
          <w:b/>
          <w:bCs/>
          <w:sz w:val="24"/>
          <w:szCs w:val="24"/>
        </w:rPr>
        <w:t>Consolidated Statements of Cash Flows</w:t>
      </w:r>
    </w:p>
    <w:p w:rsidR="004B1A27" w:rsidRPr="00043DF3" w:rsidRDefault="004B1A27" w:rsidP="00744A72">
      <w:pPr>
        <w:widowControl/>
        <w:tabs>
          <w:tab w:val="center" w:pos="5400"/>
        </w:tabs>
        <w:suppressAutoHyphens/>
        <w:spacing w:after="240"/>
        <w:jc w:val="center"/>
        <w:rPr>
          <w:b/>
          <w:bCs/>
          <w:sz w:val="24"/>
          <w:szCs w:val="24"/>
        </w:rPr>
      </w:pPr>
      <w:r w:rsidRPr="00043DF3">
        <w:rPr>
          <w:b/>
          <w:bCs/>
          <w:sz w:val="24"/>
          <w:szCs w:val="24"/>
        </w:rPr>
        <w:t>(Unaudited)</w:t>
      </w:r>
    </w:p>
    <w:p w:rsidR="00744A72" w:rsidRPr="00043DF3" w:rsidRDefault="00271188" w:rsidP="00744A72">
      <w:pPr>
        <w:widowControl/>
        <w:tabs>
          <w:tab w:val="center" w:pos="5400"/>
        </w:tabs>
        <w:suppressAutoHyphens/>
        <w:spacing w:after="240"/>
        <w:jc w:val="center"/>
        <w:rPr>
          <w:b/>
          <w:bCs/>
          <w:sz w:val="24"/>
          <w:szCs w:val="24"/>
        </w:rPr>
      </w:pPr>
      <w:r w:rsidRPr="00043DF3">
        <w:rPr>
          <w:b/>
          <w:bCs/>
          <w:sz w:val="24"/>
          <w:szCs w:val="24"/>
        </w:rPr>
        <w:t xml:space="preserve"> </w:t>
      </w:r>
      <w:r w:rsidR="00CA14BE" w:rsidRPr="00043DF3">
        <w:rPr>
          <w:b/>
          <w:bCs/>
          <w:sz w:val="24"/>
          <w:szCs w:val="24"/>
        </w:rPr>
        <w:t>(Dollars in Thousands)</w:t>
      </w:r>
    </w:p>
    <w:p w:rsidR="00271188" w:rsidRPr="0053635E" w:rsidRDefault="00271188" w:rsidP="00744A72">
      <w:pPr>
        <w:widowControl/>
        <w:tabs>
          <w:tab w:val="center" w:pos="5400"/>
        </w:tabs>
        <w:suppressAutoHyphens/>
        <w:spacing w:after="240"/>
        <w:jc w:val="center"/>
        <w:rPr>
          <w:b/>
          <w:bCs/>
          <w:highlight w:val="yellow"/>
        </w:rPr>
      </w:pPr>
    </w:p>
    <w:tbl>
      <w:tblPr>
        <w:tblW w:w="4443" w:type="pct"/>
        <w:jc w:val="center"/>
        <w:tblCellMar>
          <w:left w:w="72" w:type="dxa"/>
          <w:right w:w="72" w:type="dxa"/>
        </w:tblCellMar>
        <w:tblLook w:val="0000" w:firstRow="0" w:lastRow="0" w:firstColumn="0" w:lastColumn="0" w:noHBand="0" w:noVBand="0"/>
      </w:tblPr>
      <w:tblGrid>
        <w:gridCol w:w="6530"/>
        <w:gridCol w:w="1252"/>
        <w:gridCol w:w="1303"/>
      </w:tblGrid>
      <w:tr w:rsidR="00271188" w:rsidRPr="00043DF3" w:rsidTr="004F6412">
        <w:trPr>
          <w:cantSplit/>
          <w:jc w:val="center"/>
        </w:trPr>
        <w:tc>
          <w:tcPr>
            <w:tcW w:w="3594" w:type="pct"/>
            <w:tcBorders>
              <w:top w:val="nil"/>
              <w:left w:val="nil"/>
              <w:bottom w:val="nil"/>
              <w:right w:val="nil"/>
            </w:tcBorders>
            <w:vAlign w:val="bottom"/>
          </w:tcPr>
          <w:p w:rsidR="00271188" w:rsidRPr="0053635E" w:rsidRDefault="0027118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highlight w:val="yellow"/>
              </w:rPr>
            </w:pPr>
          </w:p>
        </w:tc>
        <w:tc>
          <w:tcPr>
            <w:tcW w:w="1406" w:type="pct"/>
            <w:gridSpan w:val="2"/>
            <w:tcBorders>
              <w:top w:val="nil"/>
              <w:left w:val="nil"/>
              <w:bottom w:val="nil"/>
              <w:right w:val="nil"/>
            </w:tcBorders>
            <w:vAlign w:val="bottom"/>
          </w:tcPr>
          <w:p w:rsidR="00271188" w:rsidRPr="00043DF3" w:rsidRDefault="00043DF3" w:rsidP="00043DF3">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043DF3">
              <w:rPr>
                <w:b/>
                <w:bCs/>
                <w:sz w:val="18"/>
                <w:szCs w:val="18"/>
              </w:rPr>
              <w:t>Three</w:t>
            </w:r>
            <w:r w:rsidR="001D5110" w:rsidRPr="00043DF3">
              <w:rPr>
                <w:b/>
                <w:bCs/>
                <w:sz w:val="18"/>
                <w:szCs w:val="18"/>
              </w:rPr>
              <w:t xml:space="preserve"> </w:t>
            </w:r>
            <w:r w:rsidR="00271188" w:rsidRPr="00043DF3">
              <w:rPr>
                <w:b/>
                <w:bCs/>
                <w:sz w:val="18"/>
                <w:szCs w:val="18"/>
              </w:rPr>
              <w:t xml:space="preserve"> Months Ended    </w:t>
            </w:r>
            <w:r w:rsidR="00B15CCC" w:rsidRPr="00043DF3">
              <w:rPr>
                <w:b/>
                <w:bCs/>
                <w:sz w:val="18"/>
                <w:szCs w:val="18"/>
              </w:rPr>
              <w:t xml:space="preserve">     </w:t>
            </w:r>
            <w:r w:rsidR="00271188" w:rsidRPr="00043DF3">
              <w:rPr>
                <w:b/>
                <w:bCs/>
                <w:sz w:val="18"/>
                <w:szCs w:val="18"/>
              </w:rPr>
              <w:t xml:space="preserve">       </w:t>
            </w:r>
            <w:r w:rsidR="001D5110" w:rsidRPr="00043DF3">
              <w:rPr>
                <w:b/>
                <w:bCs/>
                <w:sz w:val="18"/>
                <w:szCs w:val="18"/>
              </w:rPr>
              <w:t xml:space="preserve">   </w:t>
            </w:r>
            <w:r w:rsidRPr="00043DF3">
              <w:rPr>
                <w:b/>
                <w:bCs/>
                <w:sz w:val="18"/>
                <w:szCs w:val="18"/>
              </w:rPr>
              <w:t>March</w:t>
            </w:r>
            <w:r w:rsidR="00271188" w:rsidRPr="00043DF3">
              <w:rPr>
                <w:b/>
                <w:bCs/>
                <w:sz w:val="18"/>
                <w:szCs w:val="18"/>
              </w:rPr>
              <w:t xml:space="preserve"> 3</w:t>
            </w:r>
            <w:r w:rsidRPr="00043DF3">
              <w:rPr>
                <w:b/>
                <w:bCs/>
                <w:sz w:val="18"/>
                <w:szCs w:val="18"/>
              </w:rPr>
              <w:t>1</w:t>
            </w:r>
            <w:r w:rsidR="00D20CFA" w:rsidRPr="00043DF3">
              <w:rPr>
                <w:b/>
                <w:bCs/>
                <w:sz w:val="18"/>
                <w:szCs w:val="18"/>
              </w:rPr>
              <w:t>,</w:t>
            </w:r>
          </w:p>
        </w:tc>
      </w:tr>
      <w:tr w:rsidR="00271188" w:rsidRPr="00043DF3" w:rsidTr="004F6412">
        <w:trPr>
          <w:cantSplit/>
          <w:jc w:val="center"/>
        </w:trPr>
        <w:tc>
          <w:tcPr>
            <w:tcW w:w="3594" w:type="pct"/>
            <w:tcBorders>
              <w:top w:val="nil"/>
              <w:left w:val="nil"/>
              <w:bottom w:val="nil"/>
              <w:right w:val="nil"/>
            </w:tcBorders>
            <w:vAlign w:val="bottom"/>
          </w:tcPr>
          <w:p w:rsidR="00271188" w:rsidRPr="0053635E" w:rsidRDefault="0027118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highlight w:val="yellow"/>
              </w:rPr>
            </w:pPr>
          </w:p>
        </w:tc>
        <w:tc>
          <w:tcPr>
            <w:tcW w:w="689" w:type="pct"/>
            <w:tcBorders>
              <w:top w:val="nil"/>
              <w:left w:val="nil"/>
              <w:bottom w:val="nil"/>
              <w:right w:val="nil"/>
            </w:tcBorders>
            <w:vAlign w:val="bottom"/>
          </w:tcPr>
          <w:p w:rsidR="00271188" w:rsidRPr="00043DF3" w:rsidRDefault="00271188" w:rsidP="00043DF3">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043DF3">
              <w:rPr>
                <w:b/>
                <w:bCs/>
                <w:sz w:val="18"/>
                <w:szCs w:val="18"/>
              </w:rPr>
              <w:t>201</w:t>
            </w:r>
            <w:r w:rsidR="00043DF3" w:rsidRPr="00043DF3">
              <w:rPr>
                <w:b/>
                <w:bCs/>
                <w:sz w:val="18"/>
                <w:szCs w:val="18"/>
              </w:rPr>
              <w:t>4</w:t>
            </w:r>
          </w:p>
        </w:tc>
        <w:tc>
          <w:tcPr>
            <w:tcW w:w="717" w:type="pct"/>
            <w:tcBorders>
              <w:top w:val="nil"/>
              <w:left w:val="nil"/>
              <w:bottom w:val="nil"/>
              <w:right w:val="nil"/>
            </w:tcBorders>
            <w:vAlign w:val="bottom"/>
          </w:tcPr>
          <w:p w:rsidR="00271188" w:rsidRPr="00043DF3" w:rsidRDefault="00271188" w:rsidP="00043DF3">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043DF3">
              <w:rPr>
                <w:b/>
                <w:bCs/>
                <w:sz w:val="18"/>
                <w:szCs w:val="18"/>
              </w:rPr>
              <w:t>201</w:t>
            </w:r>
            <w:r w:rsidR="00043DF3" w:rsidRPr="00043DF3">
              <w:rPr>
                <w:b/>
                <w:bCs/>
                <w:sz w:val="18"/>
                <w:szCs w:val="18"/>
              </w:rPr>
              <w:t>3</w:t>
            </w:r>
          </w:p>
        </w:tc>
      </w:tr>
      <w:tr w:rsidR="00271188" w:rsidRPr="00043DF3" w:rsidTr="004F6412">
        <w:trPr>
          <w:cantSplit/>
          <w:jc w:val="center"/>
        </w:trPr>
        <w:tc>
          <w:tcPr>
            <w:tcW w:w="3594" w:type="pct"/>
            <w:tcBorders>
              <w:top w:val="nil"/>
              <w:left w:val="nil"/>
              <w:bottom w:val="nil"/>
              <w:right w:val="nil"/>
            </w:tcBorders>
          </w:tcPr>
          <w:p w:rsidR="00271188" w:rsidRPr="00660D57" w:rsidRDefault="0027118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18"/>
                <w:szCs w:val="18"/>
              </w:rPr>
            </w:pPr>
            <w:r w:rsidRPr="00660D57">
              <w:rPr>
                <w:b/>
                <w:bCs/>
                <w:sz w:val="18"/>
                <w:szCs w:val="18"/>
              </w:rPr>
              <w:t>Cash flows from operating activities</w:t>
            </w:r>
          </w:p>
        </w:tc>
        <w:tc>
          <w:tcPr>
            <w:tcW w:w="689" w:type="pct"/>
            <w:tcBorders>
              <w:top w:val="nil"/>
              <w:left w:val="nil"/>
              <w:bottom w:val="nil"/>
              <w:right w:val="nil"/>
            </w:tcBorders>
            <w:vAlign w:val="bottom"/>
          </w:tcPr>
          <w:p w:rsidR="00271188" w:rsidRPr="00043DF3" w:rsidRDefault="0027118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p>
        </w:tc>
        <w:tc>
          <w:tcPr>
            <w:tcW w:w="717" w:type="pct"/>
            <w:tcBorders>
              <w:top w:val="nil"/>
              <w:left w:val="nil"/>
              <w:bottom w:val="nil"/>
              <w:right w:val="nil"/>
            </w:tcBorders>
            <w:vAlign w:val="bottom"/>
          </w:tcPr>
          <w:p w:rsidR="00271188" w:rsidRPr="00043DF3" w:rsidRDefault="0027118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p>
        </w:tc>
      </w:tr>
      <w:tr w:rsidR="00271188" w:rsidRPr="00660D57" w:rsidTr="004F6412">
        <w:trPr>
          <w:cantSplit/>
          <w:jc w:val="center"/>
        </w:trPr>
        <w:tc>
          <w:tcPr>
            <w:tcW w:w="3594" w:type="pct"/>
            <w:tcBorders>
              <w:top w:val="nil"/>
              <w:left w:val="nil"/>
              <w:bottom w:val="nil"/>
              <w:right w:val="nil"/>
            </w:tcBorders>
          </w:tcPr>
          <w:p w:rsidR="00271188" w:rsidRPr="00660D57" w:rsidRDefault="00271188" w:rsidP="00470EDD">
            <w:pPr>
              <w:widowControl/>
              <w:suppressAutoHyphens/>
              <w:ind w:left="200" w:hanging="200"/>
              <w:rPr>
                <w:sz w:val="18"/>
                <w:szCs w:val="18"/>
              </w:rPr>
            </w:pPr>
            <w:r w:rsidRPr="00660D57">
              <w:rPr>
                <w:sz w:val="18"/>
                <w:szCs w:val="18"/>
              </w:rPr>
              <w:t xml:space="preserve">Net </w:t>
            </w:r>
            <w:r w:rsidR="00660D57" w:rsidRPr="00660D57">
              <w:rPr>
                <w:sz w:val="18"/>
                <w:szCs w:val="18"/>
              </w:rPr>
              <w:t>income (</w:t>
            </w:r>
            <w:r w:rsidR="007608B6" w:rsidRPr="00660D57">
              <w:rPr>
                <w:sz w:val="18"/>
                <w:szCs w:val="18"/>
              </w:rPr>
              <w:t>loss</w:t>
            </w:r>
            <w:r w:rsidR="00660D57" w:rsidRPr="00660D57">
              <w:rPr>
                <w:sz w:val="18"/>
                <w:szCs w:val="18"/>
              </w:rPr>
              <w:t>)</w:t>
            </w:r>
            <w:r w:rsidRPr="00660D57">
              <w:rPr>
                <w:sz w:val="18"/>
                <w:szCs w:val="18"/>
              </w:rPr>
              <w:tab/>
            </w:r>
          </w:p>
        </w:tc>
        <w:tc>
          <w:tcPr>
            <w:tcW w:w="689" w:type="pct"/>
            <w:tcBorders>
              <w:top w:val="nil"/>
              <w:left w:val="nil"/>
              <w:bottom w:val="nil"/>
              <w:right w:val="nil"/>
            </w:tcBorders>
            <w:vAlign w:val="bottom"/>
          </w:tcPr>
          <w:p w:rsidR="00271188" w:rsidRPr="0089529C" w:rsidRDefault="00271188"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w:t>
            </w:r>
            <w:r w:rsidR="004F6412" w:rsidRPr="0089529C">
              <w:rPr>
                <w:sz w:val="18"/>
                <w:szCs w:val="18"/>
              </w:rPr>
              <w:t xml:space="preserve">    </w:t>
            </w:r>
            <w:r w:rsidR="002508FA" w:rsidRPr="0089529C">
              <w:rPr>
                <w:sz w:val="18"/>
                <w:szCs w:val="18"/>
              </w:rPr>
              <w:t xml:space="preserve"> </w:t>
            </w:r>
            <w:r w:rsidR="00AD1562" w:rsidRPr="0089529C">
              <w:rPr>
                <w:sz w:val="18"/>
                <w:szCs w:val="18"/>
              </w:rPr>
              <w:t xml:space="preserve"> </w:t>
            </w:r>
            <w:r w:rsidR="004F6412" w:rsidRPr="0089529C">
              <w:rPr>
                <w:sz w:val="18"/>
                <w:szCs w:val="18"/>
              </w:rPr>
              <w:t xml:space="preserve">  </w:t>
            </w:r>
            <w:r w:rsidR="0089529C" w:rsidRPr="0089529C">
              <w:rPr>
                <w:sz w:val="18"/>
                <w:szCs w:val="18"/>
              </w:rPr>
              <w:t xml:space="preserve">    </w:t>
            </w:r>
            <w:r w:rsidR="004F6412" w:rsidRPr="0089529C">
              <w:rPr>
                <w:sz w:val="18"/>
                <w:szCs w:val="18"/>
              </w:rPr>
              <w:t xml:space="preserve"> </w:t>
            </w:r>
            <w:r w:rsidR="0089529C" w:rsidRPr="0089529C">
              <w:rPr>
                <w:sz w:val="18"/>
                <w:szCs w:val="18"/>
              </w:rPr>
              <w:t>5</w:t>
            </w:r>
            <w:r w:rsidR="008842F2" w:rsidRPr="0089529C">
              <w:rPr>
                <w:sz w:val="18"/>
                <w:szCs w:val="18"/>
              </w:rPr>
              <w:t>,</w:t>
            </w:r>
            <w:r w:rsidR="0089529C" w:rsidRPr="0089529C">
              <w:rPr>
                <w:sz w:val="18"/>
                <w:szCs w:val="18"/>
              </w:rPr>
              <w:t>474</w:t>
            </w:r>
          </w:p>
        </w:tc>
        <w:tc>
          <w:tcPr>
            <w:tcW w:w="717" w:type="pct"/>
            <w:tcBorders>
              <w:top w:val="nil"/>
              <w:left w:val="nil"/>
              <w:bottom w:val="nil"/>
              <w:right w:val="nil"/>
            </w:tcBorders>
            <w:vAlign w:val="bottom"/>
          </w:tcPr>
          <w:p w:rsidR="00271188" w:rsidRPr="00660D57" w:rsidRDefault="00271188" w:rsidP="00660D5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660D57">
              <w:rPr>
                <w:sz w:val="18"/>
                <w:szCs w:val="18"/>
              </w:rPr>
              <w:t>$</w:t>
            </w:r>
            <w:r w:rsidR="00660D57" w:rsidRPr="00660D57">
              <w:rPr>
                <w:sz w:val="18"/>
                <w:szCs w:val="18"/>
              </w:rPr>
              <w:t xml:space="preserve">    </w:t>
            </w:r>
            <w:r w:rsidR="004F6412" w:rsidRPr="00660D57">
              <w:rPr>
                <w:sz w:val="18"/>
                <w:szCs w:val="18"/>
              </w:rPr>
              <w:t xml:space="preserve">   </w:t>
            </w:r>
            <w:r w:rsidR="00AD1562" w:rsidRPr="00660D57">
              <w:rPr>
                <w:sz w:val="18"/>
                <w:szCs w:val="18"/>
              </w:rPr>
              <w:t xml:space="preserve">   </w:t>
            </w:r>
            <w:r w:rsidR="00114F32" w:rsidRPr="00660D57">
              <w:rPr>
                <w:sz w:val="18"/>
                <w:szCs w:val="18"/>
              </w:rPr>
              <w:t xml:space="preserve">    </w:t>
            </w:r>
            <w:r w:rsidR="004F6412" w:rsidRPr="00660D57">
              <w:rPr>
                <w:sz w:val="18"/>
                <w:szCs w:val="18"/>
              </w:rPr>
              <w:t xml:space="preserve"> </w:t>
            </w:r>
            <w:r w:rsidR="00114F32" w:rsidRPr="00660D57">
              <w:rPr>
                <w:sz w:val="18"/>
                <w:szCs w:val="18"/>
              </w:rPr>
              <w:t>(</w:t>
            </w:r>
            <w:r w:rsidR="00660D57" w:rsidRPr="00660D57">
              <w:rPr>
                <w:sz w:val="18"/>
                <w:szCs w:val="18"/>
              </w:rPr>
              <w:t>435</w:t>
            </w:r>
            <w:r w:rsidR="00114F32" w:rsidRPr="00660D57">
              <w:rPr>
                <w:sz w:val="18"/>
                <w:szCs w:val="18"/>
              </w:rPr>
              <w:t>)</w:t>
            </w:r>
          </w:p>
        </w:tc>
      </w:tr>
      <w:tr w:rsidR="00271188" w:rsidRPr="0053635E" w:rsidTr="004F6412">
        <w:trPr>
          <w:cantSplit/>
          <w:jc w:val="center"/>
        </w:trPr>
        <w:tc>
          <w:tcPr>
            <w:tcW w:w="3594" w:type="pct"/>
            <w:tcBorders>
              <w:top w:val="nil"/>
              <w:left w:val="nil"/>
              <w:bottom w:val="nil"/>
              <w:right w:val="nil"/>
            </w:tcBorders>
          </w:tcPr>
          <w:p w:rsidR="00271188" w:rsidRPr="00660D57" w:rsidRDefault="00271188" w:rsidP="00660D57">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18"/>
                <w:szCs w:val="18"/>
              </w:rPr>
            </w:pPr>
            <w:r w:rsidRPr="00660D57">
              <w:rPr>
                <w:sz w:val="18"/>
                <w:szCs w:val="18"/>
              </w:rPr>
              <w:t xml:space="preserve">Adjustments to reconcile net </w:t>
            </w:r>
            <w:r w:rsidR="00660D57" w:rsidRPr="00660D57">
              <w:rPr>
                <w:sz w:val="18"/>
                <w:szCs w:val="18"/>
              </w:rPr>
              <w:t>income (</w:t>
            </w:r>
            <w:r w:rsidR="00470EDD" w:rsidRPr="00660D57">
              <w:rPr>
                <w:sz w:val="18"/>
                <w:szCs w:val="18"/>
              </w:rPr>
              <w:t>loss</w:t>
            </w:r>
            <w:r w:rsidR="00660D57" w:rsidRPr="00660D57">
              <w:rPr>
                <w:sz w:val="18"/>
                <w:szCs w:val="18"/>
              </w:rPr>
              <w:t>)</w:t>
            </w:r>
            <w:r w:rsidR="00502A5A" w:rsidRPr="00660D57">
              <w:rPr>
                <w:sz w:val="18"/>
                <w:szCs w:val="18"/>
              </w:rPr>
              <w:t xml:space="preserve"> </w:t>
            </w:r>
            <w:r w:rsidRPr="00660D57">
              <w:rPr>
                <w:sz w:val="18"/>
                <w:szCs w:val="18"/>
              </w:rPr>
              <w:t>to net cash provided by</w:t>
            </w:r>
            <w:r w:rsidR="00A23F34" w:rsidRPr="00660D57">
              <w:rPr>
                <w:sz w:val="18"/>
                <w:szCs w:val="18"/>
              </w:rPr>
              <w:t xml:space="preserve"> </w:t>
            </w:r>
            <w:r w:rsidRPr="00660D57">
              <w:rPr>
                <w:sz w:val="18"/>
                <w:szCs w:val="18"/>
              </w:rPr>
              <w:t>operating activities:</w:t>
            </w:r>
          </w:p>
        </w:tc>
        <w:tc>
          <w:tcPr>
            <w:tcW w:w="689" w:type="pct"/>
            <w:tcBorders>
              <w:top w:val="nil"/>
              <w:left w:val="nil"/>
              <w:bottom w:val="nil"/>
              <w:right w:val="nil"/>
            </w:tcBorders>
            <w:vAlign w:val="bottom"/>
          </w:tcPr>
          <w:p w:rsidR="00271188" w:rsidRPr="0089529C" w:rsidRDefault="0027118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p>
        </w:tc>
        <w:tc>
          <w:tcPr>
            <w:tcW w:w="717" w:type="pct"/>
            <w:tcBorders>
              <w:top w:val="nil"/>
              <w:left w:val="nil"/>
              <w:bottom w:val="nil"/>
              <w:right w:val="nil"/>
            </w:tcBorders>
            <w:vAlign w:val="bottom"/>
          </w:tcPr>
          <w:p w:rsidR="00271188" w:rsidRPr="0053635E" w:rsidRDefault="0027118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r>
      <w:tr w:rsidR="00271188" w:rsidRPr="0053635E" w:rsidTr="004F6412">
        <w:trPr>
          <w:cantSplit/>
          <w:jc w:val="center"/>
        </w:trPr>
        <w:tc>
          <w:tcPr>
            <w:tcW w:w="3594" w:type="pct"/>
            <w:tcBorders>
              <w:top w:val="nil"/>
              <w:left w:val="nil"/>
              <w:bottom w:val="nil"/>
              <w:right w:val="nil"/>
            </w:tcBorders>
          </w:tcPr>
          <w:p w:rsidR="00271188" w:rsidRPr="00660D57" w:rsidRDefault="00271188" w:rsidP="004F77DB">
            <w:pPr>
              <w:widowControl/>
              <w:suppressAutoHyphens/>
              <w:ind w:left="400" w:hanging="200"/>
              <w:rPr>
                <w:sz w:val="18"/>
                <w:szCs w:val="18"/>
              </w:rPr>
            </w:pPr>
            <w:r w:rsidRPr="00660D57">
              <w:rPr>
                <w:sz w:val="18"/>
                <w:szCs w:val="18"/>
              </w:rPr>
              <w:t>Depreciation and amortization</w:t>
            </w:r>
            <w:r w:rsidRPr="00660D57">
              <w:rPr>
                <w:sz w:val="18"/>
                <w:szCs w:val="18"/>
              </w:rPr>
              <w:tab/>
            </w:r>
          </w:p>
        </w:tc>
        <w:tc>
          <w:tcPr>
            <w:tcW w:w="689" w:type="pct"/>
            <w:tcBorders>
              <w:top w:val="nil"/>
              <w:left w:val="nil"/>
              <w:bottom w:val="nil"/>
              <w:right w:val="nil"/>
            </w:tcBorders>
            <w:vAlign w:val="bottom"/>
          </w:tcPr>
          <w:p w:rsidR="00271188" w:rsidRPr="0089529C" w:rsidRDefault="0089529C"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18</w:t>
            </w:r>
            <w:r w:rsidR="00271188" w:rsidRPr="0089529C">
              <w:rPr>
                <w:sz w:val="18"/>
                <w:szCs w:val="18"/>
              </w:rPr>
              <w:t>,</w:t>
            </w:r>
            <w:r w:rsidRPr="0089529C">
              <w:rPr>
                <w:sz w:val="18"/>
                <w:szCs w:val="18"/>
              </w:rPr>
              <w:t>560</w:t>
            </w:r>
          </w:p>
        </w:tc>
        <w:tc>
          <w:tcPr>
            <w:tcW w:w="717" w:type="pct"/>
            <w:tcBorders>
              <w:top w:val="nil"/>
              <w:left w:val="nil"/>
              <w:bottom w:val="nil"/>
              <w:right w:val="nil"/>
            </w:tcBorders>
            <w:vAlign w:val="bottom"/>
          </w:tcPr>
          <w:p w:rsidR="00271188" w:rsidRPr="00660D57" w:rsidRDefault="00660D57" w:rsidP="00660D5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660D57">
              <w:rPr>
                <w:sz w:val="18"/>
                <w:szCs w:val="18"/>
              </w:rPr>
              <w:t>17</w:t>
            </w:r>
            <w:r w:rsidR="00271188" w:rsidRPr="00660D57">
              <w:rPr>
                <w:sz w:val="18"/>
                <w:szCs w:val="18"/>
              </w:rPr>
              <w:t>,</w:t>
            </w:r>
            <w:r w:rsidRPr="00660D57">
              <w:rPr>
                <w:sz w:val="18"/>
                <w:szCs w:val="18"/>
              </w:rPr>
              <w:t>339</w:t>
            </w:r>
          </w:p>
        </w:tc>
      </w:tr>
      <w:tr w:rsidR="00271188" w:rsidRPr="0053635E" w:rsidTr="004F6412">
        <w:trPr>
          <w:cantSplit/>
          <w:jc w:val="center"/>
        </w:trPr>
        <w:tc>
          <w:tcPr>
            <w:tcW w:w="3594" w:type="pct"/>
            <w:tcBorders>
              <w:top w:val="nil"/>
              <w:left w:val="nil"/>
              <w:bottom w:val="nil"/>
              <w:right w:val="nil"/>
            </w:tcBorders>
          </w:tcPr>
          <w:p w:rsidR="00271188" w:rsidRPr="00660D57" w:rsidRDefault="00271188" w:rsidP="004F77DB">
            <w:pPr>
              <w:widowControl/>
              <w:suppressAutoHyphens/>
              <w:ind w:left="400" w:hanging="200"/>
              <w:rPr>
                <w:sz w:val="18"/>
                <w:szCs w:val="18"/>
              </w:rPr>
            </w:pPr>
            <w:r w:rsidRPr="00660D57">
              <w:rPr>
                <w:sz w:val="18"/>
                <w:szCs w:val="18"/>
              </w:rPr>
              <w:t>Provision for doubtful accounts</w:t>
            </w:r>
            <w:r w:rsidRPr="00660D57">
              <w:rPr>
                <w:sz w:val="18"/>
                <w:szCs w:val="18"/>
              </w:rPr>
              <w:tab/>
            </w:r>
          </w:p>
        </w:tc>
        <w:tc>
          <w:tcPr>
            <w:tcW w:w="689" w:type="pct"/>
            <w:tcBorders>
              <w:top w:val="nil"/>
              <w:left w:val="nil"/>
              <w:bottom w:val="nil"/>
              <w:right w:val="nil"/>
            </w:tcBorders>
            <w:vAlign w:val="bottom"/>
          </w:tcPr>
          <w:p w:rsidR="00271188" w:rsidRPr="0089529C" w:rsidRDefault="0089529C"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3</w:t>
            </w:r>
            <w:r w:rsidR="009829CA" w:rsidRPr="0089529C">
              <w:rPr>
                <w:sz w:val="18"/>
                <w:szCs w:val="18"/>
              </w:rPr>
              <w:t>,</w:t>
            </w:r>
            <w:r w:rsidRPr="0089529C">
              <w:rPr>
                <w:sz w:val="18"/>
                <w:szCs w:val="18"/>
              </w:rPr>
              <w:t>457</w:t>
            </w:r>
          </w:p>
        </w:tc>
        <w:tc>
          <w:tcPr>
            <w:tcW w:w="717" w:type="pct"/>
            <w:tcBorders>
              <w:top w:val="nil"/>
              <w:left w:val="nil"/>
              <w:bottom w:val="nil"/>
              <w:right w:val="nil"/>
            </w:tcBorders>
            <w:vAlign w:val="bottom"/>
          </w:tcPr>
          <w:p w:rsidR="00271188" w:rsidRPr="00660D57" w:rsidRDefault="00114F32" w:rsidP="00660D5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660D57">
              <w:rPr>
                <w:sz w:val="18"/>
                <w:szCs w:val="18"/>
              </w:rPr>
              <w:t>2</w:t>
            </w:r>
            <w:r w:rsidR="00271188" w:rsidRPr="00660D57">
              <w:rPr>
                <w:sz w:val="18"/>
                <w:szCs w:val="18"/>
              </w:rPr>
              <w:t>,</w:t>
            </w:r>
            <w:r w:rsidR="00660D57" w:rsidRPr="00660D57">
              <w:rPr>
                <w:sz w:val="18"/>
                <w:szCs w:val="18"/>
              </w:rPr>
              <w:t>156</w:t>
            </w:r>
          </w:p>
        </w:tc>
      </w:tr>
      <w:tr w:rsidR="00271188" w:rsidRPr="0053635E" w:rsidTr="004F6412">
        <w:trPr>
          <w:cantSplit/>
          <w:jc w:val="center"/>
        </w:trPr>
        <w:tc>
          <w:tcPr>
            <w:tcW w:w="3594" w:type="pct"/>
            <w:tcBorders>
              <w:top w:val="nil"/>
              <w:left w:val="nil"/>
              <w:bottom w:val="nil"/>
              <w:right w:val="nil"/>
            </w:tcBorders>
          </w:tcPr>
          <w:p w:rsidR="00271188" w:rsidRPr="00660D57" w:rsidRDefault="00271188" w:rsidP="004F77DB">
            <w:pPr>
              <w:widowControl/>
              <w:suppressAutoHyphens/>
              <w:ind w:left="400" w:hanging="200"/>
              <w:rPr>
                <w:sz w:val="18"/>
                <w:szCs w:val="18"/>
              </w:rPr>
            </w:pPr>
            <w:r w:rsidRPr="00660D57">
              <w:rPr>
                <w:sz w:val="18"/>
                <w:szCs w:val="18"/>
              </w:rPr>
              <w:t>Amortization of deferred financing fees</w:t>
            </w:r>
            <w:r w:rsidRPr="00660D57">
              <w:rPr>
                <w:sz w:val="18"/>
                <w:szCs w:val="18"/>
              </w:rPr>
              <w:tab/>
            </w:r>
          </w:p>
        </w:tc>
        <w:tc>
          <w:tcPr>
            <w:tcW w:w="689" w:type="pct"/>
            <w:tcBorders>
              <w:top w:val="nil"/>
              <w:left w:val="nil"/>
              <w:bottom w:val="nil"/>
              <w:right w:val="nil"/>
            </w:tcBorders>
            <w:vAlign w:val="bottom"/>
          </w:tcPr>
          <w:p w:rsidR="00271188" w:rsidRPr="0089529C" w:rsidRDefault="0089529C"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1</w:t>
            </w:r>
            <w:r w:rsidR="002A519E" w:rsidRPr="0089529C">
              <w:rPr>
                <w:sz w:val="18"/>
                <w:szCs w:val="18"/>
              </w:rPr>
              <w:t>,</w:t>
            </w:r>
            <w:r w:rsidRPr="0089529C">
              <w:rPr>
                <w:sz w:val="18"/>
                <w:szCs w:val="18"/>
              </w:rPr>
              <w:t>574</w:t>
            </w:r>
          </w:p>
        </w:tc>
        <w:tc>
          <w:tcPr>
            <w:tcW w:w="717" w:type="pct"/>
            <w:tcBorders>
              <w:top w:val="nil"/>
              <w:left w:val="nil"/>
              <w:bottom w:val="nil"/>
              <w:right w:val="nil"/>
            </w:tcBorders>
            <w:vAlign w:val="bottom"/>
          </w:tcPr>
          <w:p w:rsidR="00271188" w:rsidRPr="00660D57" w:rsidRDefault="00660D57" w:rsidP="00660D5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660D57">
              <w:rPr>
                <w:sz w:val="18"/>
                <w:szCs w:val="18"/>
              </w:rPr>
              <w:t>1</w:t>
            </w:r>
            <w:r w:rsidR="00271188" w:rsidRPr="00660D57">
              <w:rPr>
                <w:sz w:val="18"/>
                <w:szCs w:val="18"/>
              </w:rPr>
              <w:t>,</w:t>
            </w:r>
            <w:r w:rsidRPr="00660D57">
              <w:rPr>
                <w:sz w:val="18"/>
                <w:szCs w:val="18"/>
              </w:rPr>
              <w:t>519</w:t>
            </w:r>
          </w:p>
        </w:tc>
      </w:tr>
      <w:tr w:rsidR="00DB03E8" w:rsidRPr="0053635E" w:rsidTr="004F6412">
        <w:trPr>
          <w:cantSplit/>
          <w:jc w:val="center"/>
        </w:trPr>
        <w:tc>
          <w:tcPr>
            <w:tcW w:w="3594" w:type="pct"/>
            <w:tcBorders>
              <w:top w:val="nil"/>
              <w:left w:val="nil"/>
              <w:bottom w:val="nil"/>
              <w:right w:val="nil"/>
            </w:tcBorders>
          </w:tcPr>
          <w:p w:rsidR="00DB03E8" w:rsidRPr="00660D57" w:rsidRDefault="00DB03E8" w:rsidP="009D1529">
            <w:pPr>
              <w:widowControl/>
              <w:suppressAutoHyphens/>
              <w:ind w:left="400" w:hanging="200"/>
              <w:rPr>
                <w:sz w:val="18"/>
                <w:szCs w:val="18"/>
              </w:rPr>
            </w:pPr>
            <w:r w:rsidRPr="00660D57">
              <w:rPr>
                <w:sz w:val="18"/>
                <w:szCs w:val="18"/>
              </w:rPr>
              <w:t xml:space="preserve">Loss on </w:t>
            </w:r>
            <w:r w:rsidR="00B72FF6">
              <w:rPr>
                <w:sz w:val="18"/>
                <w:szCs w:val="18"/>
              </w:rPr>
              <w:t>modification and extinguishment of debt and capital lease obligations</w:t>
            </w:r>
          </w:p>
        </w:tc>
        <w:tc>
          <w:tcPr>
            <w:tcW w:w="689" w:type="pct"/>
            <w:tcBorders>
              <w:top w:val="nil"/>
              <w:left w:val="nil"/>
              <w:bottom w:val="nil"/>
              <w:right w:val="nil"/>
            </w:tcBorders>
            <w:vAlign w:val="bottom"/>
          </w:tcPr>
          <w:p w:rsidR="00DB03E8" w:rsidRPr="0089529C" w:rsidRDefault="0089529C"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22</w:t>
            </w:r>
          </w:p>
        </w:tc>
        <w:tc>
          <w:tcPr>
            <w:tcW w:w="717" w:type="pct"/>
            <w:tcBorders>
              <w:top w:val="nil"/>
              <w:left w:val="nil"/>
              <w:bottom w:val="nil"/>
              <w:right w:val="nil"/>
            </w:tcBorders>
            <w:vAlign w:val="bottom"/>
          </w:tcPr>
          <w:p w:rsidR="00DB03E8" w:rsidRPr="00660D57" w:rsidRDefault="00660D57" w:rsidP="00660D5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660D57">
              <w:rPr>
                <w:sz w:val="18"/>
                <w:szCs w:val="18"/>
              </w:rPr>
              <w:t>647</w:t>
            </w:r>
          </w:p>
        </w:tc>
      </w:tr>
      <w:tr w:rsidR="00DB03E8" w:rsidRPr="00B72FF6" w:rsidTr="004F6412">
        <w:trPr>
          <w:cantSplit/>
          <w:jc w:val="center"/>
        </w:trPr>
        <w:tc>
          <w:tcPr>
            <w:tcW w:w="3594" w:type="pct"/>
            <w:tcBorders>
              <w:top w:val="nil"/>
              <w:left w:val="nil"/>
              <w:bottom w:val="nil"/>
              <w:right w:val="nil"/>
            </w:tcBorders>
          </w:tcPr>
          <w:p w:rsidR="00DB03E8" w:rsidRPr="00B72FF6" w:rsidRDefault="00DB03E8" w:rsidP="004F77DB">
            <w:pPr>
              <w:widowControl/>
              <w:suppressAutoHyphens/>
              <w:ind w:left="400" w:hanging="200"/>
              <w:rPr>
                <w:sz w:val="18"/>
                <w:szCs w:val="18"/>
              </w:rPr>
            </w:pPr>
            <w:r w:rsidRPr="00B72FF6">
              <w:rPr>
                <w:sz w:val="18"/>
                <w:szCs w:val="18"/>
              </w:rPr>
              <w:t>Derivative loss reclassified into earnings</w:t>
            </w:r>
            <w:r w:rsidRPr="00B72FF6">
              <w:rPr>
                <w:sz w:val="18"/>
                <w:szCs w:val="18"/>
              </w:rPr>
              <w:tab/>
            </w:r>
          </w:p>
        </w:tc>
        <w:tc>
          <w:tcPr>
            <w:tcW w:w="689" w:type="pct"/>
            <w:tcBorders>
              <w:top w:val="nil"/>
              <w:left w:val="nil"/>
              <w:bottom w:val="nil"/>
              <w:right w:val="nil"/>
            </w:tcBorders>
            <w:vAlign w:val="bottom"/>
          </w:tcPr>
          <w:p w:rsidR="00DB03E8" w:rsidRPr="0089529C" w:rsidRDefault="0089529C"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4</w:t>
            </w:r>
            <w:r w:rsidR="00ED5F40" w:rsidRPr="0089529C">
              <w:rPr>
                <w:sz w:val="18"/>
                <w:szCs w:val="18"/>
              </w:rPr>
              <w:t>,</w:t>
            </w:r>
            <w:r w:rsidRPr="0089529C">
              <w:rPr>
                <w:sz w:val="18"/>
                <w:szCs w:val="18"/>
              </w:rPr>
              <w:t>606</w:t>
            </w:r>
          </w:p>
        </w:tc>
        <w:tc>
          <w:tcPr>
            <w:tcW w:w="717" w:type="pct"/>
            <w:tcBorders>
              <w:top w:val="nil"/>
              <w:left w:val="nil"/>
              <w:bottom w:val="nil"/>
              <w:right w:val="nil"/>
            </w:tcBorders>
            <w:vAlign w:val="bottom"/>
          </w:tcPr>
          <w:p w:rsidR="00DB03E8" w:rsidRPr="00B72FF6" w:rsidRDefault="00114F32" w:rsidP="00B72FF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B72FF6">
              <w:rPr>
                <w:sz w:val="18"/>
                <w:szCs w:val="18"/>
              </w:rPr>
              <w:t>5</w:t>
            </w:r>
            <w:r w:rsidR="00DB03E8" w:rsidRPr="00B72FF6">
              <w:rPr>
                <w:sz w:val="18"/>
                <w:szCs w:val="18"/>
              </w:rPr>
              <w:t>,</w:t>
            </w:r>
            <w:r w:rsidR="00B72FF6" w:rsidRPr="00B72FF6">
              <w:rPr>
                <w:sz w:val="18"/>
                <w:szCs w:val="18"/>
              </w:rPr>
              <w:t>217</w:t>
            </w:r>
          </w:p>
        </w:tc>
      </w:tr>
      <w:tr w:rsidR="00DB03E8" w:rsidRPr="00B72FF6" w:rsidTr="004F6412">
        <w:trPr>
          <w:cantSplit/>
          <w:jc w:val="center"/>
        </w:trPr>
        <w:tc>
          <w:tcPr>
            <w:tcW w:w="3594" w:type="pct"/>
            <w:tcBorders>
              <w:top w:val="nil"/>
              <w:left w:val="nil"/>
              <w:bottom w:val="nil"/>
              <w:right w:val="nil"/>
            </w:tcBorders>
          </w:tcPr>
          <w:p w:rsidR="00DB03E8" w:rsidRPr="00B72FF6" w:rsidRDefault="00DB03E8" w:rsidP="004F77DB">
            <w:pPr>
              <w:widowControl/>
              <w:suppressAutoHyphens/>
              <w:ind w:left="400" w:hanging="200"/>
              <w:rPr>
                <w:sz w:val="18"/>
                <w:szCs w:val="18"/>
              </w:rPr>
            </w:pPr>
            <w:r w:rsidRPr="00B72FF6">
              <w:rPr>
                <w:sz w:val="18"/>
                <w:szCs w:val="18"/>
              </w:rPr>
              <w:t>Ineffective portion of cash flow hedges</w:t>
            </w:r>
            <w:r w:rsidRPr="00B72FF6">
              <w:rPr>
                <w:sz w:val="18"/>
                <w:szCs w:val="18"/>
              </w:rPr>
              <w:tab/>
            </w:r>
          </w:p>
        </w:tc>
        <w:tc>
          <w:tcPr>
            <w:tcW w:w="689" w:type="pct"/>
            <w:tcBorders>
              <w:top w:val="nil"/>
              <w:left w:val="nil"/>
              <w:bottom w:val="nil"/>
              <w:right w:val="nil"/>
            </w:tcBorders>
            <w:vAlign w:val="bottom"/>
          </w:tcPr>
          <w:p w:rsidR="00DB03E8" w:rsidRPr="0089529C" w:rsidRDefault="00F84FB4"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w:t>
            </w:r>
            <w:r w:rsidR="0089529C" w:rsidRPr="0089529C">
              <w:rPr>
                <w:sz w:val="18"/>
                <w:szCs w:val="18"/>
              </w:rPr>
              <w:t>21</w:t>
            </w:r>
            <w:r w:rsidRPr="0089529C">
              <w:rPr>
                <w:sz w:val="18"/>
                <w:szCs w:val="18"/>
              </w:rPr>
              <w:t>)</w:t>
            </w:r>
          </w:p>
        </w:tc>
        <w:tc>
          <w:tcPr>
            <w:tcW w:w="717" w:type="pct"/>
            <w:tcBorders>
              <w:top w:val="nil"/>
              <w:left w:val="nil"/>
              <w:bottom w:val="nil"/>
              <w:right w:val="nil"/>
            </w:tcBorders>
            <w:vAlign w:val="bottom"/>
          </w:tcPr>
          <w:p w:rsidR="00DB03E8" w:rsidRPr="00B72FF6" w:rsidRDefault="00B72FF6" w:rsidP="00114F3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B72FF6">
              <w:rPr>
                <w:sz w:val="18"/>
                <w:szCs w:val="18"/>
              </w:rPr>
              <w:t>—</w:t>
            </w:r>
          </w:p>
        </w:tc>
      </w:tr>
      <w:tr w:rsidR="00DB03E8" w:rsidRPr="0053635E" w:rsidTr="004F6412">
        <w:trPr>
          <w:cantSplit/>
          <w:jc w:val="center"/>
        </w:trPr>
        <w:tc>
          <w:tcPr>
            <w:tcW w:w="3594" w:type="pct"/>
            <w:tcBorders>
              <w:top w:val="nil"/>
              <w:left w:val="nil"/>
              <w:bottom w:val="nil"/>
              <w:right w:val="nil"/>
            </w:tcBorders>
          </w:tcPr>
          <w:p w:rsidR="00DB03E8" w:rsidRPr="00B72FF6" w:rsidRDefault="00DB03E8" w:rsidP="004F77DB">
            <w:pPr>
              <w:widowControl/>
              <w:suppressAutoHyphens/>
              <w:ind w:left="400" w:hanging="200"/>
              <w:rPr>
                <w:sz w:val="18"/>
                <w:szCs w:val="18"/>
              </w:rPr>
            </w:pPr>
            <w:r w:rsidRPr="00B72FF6">
              <w:rPr>
                <w:sz w:val="18"/>
                <w:szCs w:val="18"/>
              </w:rPr>
              <w:t>Impairment of leasing equipment</w:t>
            </w:r>
            <w:r w:rsidRPr="00B72FF6">
              <w:rPr>
                <w:sz w:val="18"/>
                <w:szCs w:val="18"/>
              </w:rPr>
              <w:tab/>
            </w:r>
          </w:p>
        </w:tc>
        <w:tc>
          <w:tcPr>
            <w:tcW w:w="689" w:type="pct"/>
            <w:tcBorders>
              <w:top w:val="nil"/>
              <w:left w:val="nil"/>
              <w:bottom w:val="nil"/>
              <w:right w:val="nil"/>
            </w:tcBorders>
            <w:vAlign w:val="bottom"/>
          </w:tcPr>
          <w:p w:rsidR="00DB03E8" w:rsidRPr="0089529C" w:rsidRDefault="0089529C"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1</w:t>
            </w:r>
            <w:r w:rsidR="00DB03E8" w:rsidRPr="0089529C">
              <w:rPr>
                <w:sz w:val="18"/>
                <w:szCs w:val="18"/>
              </w:rPr>
              <w:t>,</w:t>
            </w:r>
            <w:r w:rsidRPr="0089529C">
              <w:rPr>
                <w:sz w:val="18"/>
                <w:szCs w:val="18"/>
              </w:rPr>
              <w:t>126</w:t>
            </w:r>
          </w:p>
        </w:tc>
        <w:tc>
          <w:tcPr>
            <w:tcW w:w="717" w:type="pct"/>
            <w:tcBorders>
              <w:top w:val="nil"/>
              <w:left w:val="nil"/>
              <w:bottom w:val="nil"/>
              <w:right w:val="nil"/>
            </w:tcBorders>
            <w:vAlign w:val="bottom"/>
          </w:tcPr>
          <w:p w:rsidR="00DB03E8" w:rsidRPr="00B72FF6" w:rsidRDefault="00B72FF6" w:rsidP="00B72FF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B72FF6">
              <w:rPr>
                <w:sz w:val="18"/>
                <w:szCs w:val="18"/>
              </w:rPr>
              <w:t>2</w:t>
            </w:r>
            <w:r w:rsidR="00DB03E8" w:rsidRPr="00B72FF6">
              <w:rPr>
                <w:sz w:val="18"/>
                <w:szCs w:val="18"/>
              </w:rPr>
              <w:t>,</w:t>
            </w:r>
            <w:r w:rsidRPr="00B72FF6">
              <w:rPr>
                <w:sz w:val="18"/>
                <w:szCs w:val="18"/>
              </w:rPr>
              <w:t>133</w:t>
            </w:r>
          </w:p>
        </w:tc>
      </w:tr>
      <w:tr w:rsidR="00DB03E8" w:rsidRPr="0053635E" w:rsidTr="004F6412">
        <w:trPr>
          <w:cantSplit/>
          <w:jc w:val="center"/>
        </w:trPr>
        <w:tc>
          <w:tcPr>
            <w:tcW w:w="3594" w:type="pct"/>
            <w:tcBorders>
              <w:top w:val="nil"/>
              <w:left w:val="nil"/>
              <w:bottom w:val="nil"/>
              <w:right w:val="nil"/>
            </w:tcBorders>
          </w:tcPr>
          <w:p w:rsidR="00DB03E8" w:rsidRPr="00B72FF6" w:rsidRDefault="00DB03E8" w:rsidP="00B72FF6">
            <w:pPr>
              <w:widowControl/>
              <w:suppressAutoHyphens/>
              <w:ind w:left="400" w:hanging="200"/>
              <w:rPr>
                <w:sz w:val="18"/>
                <w:szCs w:val="18"/>
              </w:rPr>
            </w:pPr>
            <w:r w:rsidRPr="00B72FF6">
              <w:rPr>
                <w:sz w:val="18"/>
                <w:szCs w:val="18"/>
              </w:rPr>
              <w:t>S</w:t>
            </w:r>
            <w:r w:rsidR="004B3DB2" w:rsidRPr="00B72FF6">
              <w:rPr>
                <w:sz w:val="18"/>
                <w:szCs w:val="18"/>
              </w:rPr>
              <w:t>hare</w:t>
            </w:r>
            <w:r w:rsidR="00B72FF6" w:rsidRPr="00B72FF6">
              <w:rPr>
                <w:sz w:val="18"/>
                <w:szCs w:val="18"/>
              </w:rPr>
              <w:t>-</w:t>
            </w:r>
            <w:r w:rsidRPr="00B72FF6">
              <w:rPr>
                <w:sz w:val="18"/>
                <w:szCs w:val="18"/>
              </w:rPr>
              <w:t>based compensation</w:t>
            </w:r>
            <w:r w:rsidRPr="00B72FF6">
              <w:rPr>
                <w:sz w:val="18"/>
                <w:szCs w:val="18"/>
              </w:rPr>
              <w:tab/>
            </w:r>
          </w:p>
        </w:tc>
        <w:tc>
          <w:tcPr>
            <w:tcW w:w="689" w:type="pct"/>
            <w:tcBorders>
              <w:top w:val="nil"/>
              <w:left w:val="nil"/>
              <w:bottom w:val="nil"/>
              <w:right w:val="nil"/>
            </w:tcBorders>
            <w:vAlign w:val="bottom"/>
          </w:tcPr>
          <w:p w:rsidR="00DB03E8" w:rsidRPr="0089529C" w:rsidRDefault="0089529C"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218</w:t>
            </w:r>
          </w:p>
        </w:tc>
        <w:tc>
          <w:tcPr>
            <w:tcW w:w="717" w:type="pct"/>
            <w:tcBorders>
              <w:top w:val="nil"/>
              <w:left w:val="nil"/>
              <w:bottom w:val="nil"/>
              <w:right w:val="nil"/>
            </w:tcBorders>
            <w:vAlign w:val="bottom"/>
          </w:tcPr>
          <w:p w:rsidR="00DB03E8" w:rsidRPr="00B72FF6" w:rsidRDefault="00B72FF6" w:rsidP="00B72FF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B72FF6">
              <w:rPr>
                <w:sz w:val="18"/>
                <w:szCs w:val="18"/>
              </w:rPr>
              <w:t>281</w:t>
            </w:r>
          </w:p>
        </w:tc>
      </w:tr>
      <w:tr w:rsidR="00DB03E8" w:rsidRPr="0053635E" w:rsidTr="004F6412">
        <w:trPr>
          <w:cantSplit/>
          <w:jc w:val="center"/>
        </w:trPr>
        <w:tc>
          <w:tcPr>
            <w:tcW w:w="3594" w:type="pct"/>
            <w:tcBorders>
              <w:top w:val="nil"/>
              <w:left w:val="nil"/>
              <w:bottom w:val="nil"/>
              <w:right w:val="nil"/>
            </w:tcBorders>
          </w:tcPr>
          <w:p w:rsidR="00DB03E8" w:rsidRPr="00B72FF6" w:rsidRDefault="00DB03E8" w:rsidP="004F77DB">
            <w:pPr>
              <w:widowControl/>
              <w:suppressAutoHyphens/>
              <w:ind w:left="400" w:hanging="200"/>
              <w:rPr>
                <w:sz w:val="18"/>
                <w:szCs w:val="18"/>
              </w:rPr>
            </w:pPr>
            <w:r w:rsidRPr="00B72FF6">
              <w:rPr>
                <w:sz w:val="18"/>
                <w:szCs w:val="18"/>
              </w:rPr>
              <w:t>Deferred income taxes</w:t>
            </w:r>
            <w:r w:rsidR="00763E36">
              <w:rPr>
                <w:sz w:val="18"/>
                <w:szCs w:val="18"/>
              </w:rPr>
              <w:t>, net</w:t>
            </w:r>
            <w:r w:rsidRPr="00B72FF6">
              <w:rPr>
                <w:sz w:val="18"/>
                <w:szCs w:val="18"/>
              </w:rPr>
              <w:tab/>
            </w:r>
          </w:p>
        </w:tc>
        <w:tc>
          <w:tcPr>
            <w:tcW w:w="689" w:type="pct"/>
            <w:tcBorders>
              <w:top w:val="nil"/>
              <w:left w:val="nil"/>
              <w:bottom w:val="nil"/>
              <w:right w:val="nil"/>
            </w:tcBorders>
            <w:vAlign w:val="bottom"/>
          </w:tcPr>
          <w:p w:rsidR="00DB03E8" w:rsidRPr="0089529C" w:rsidRDefault="0089529C" w:rsidP="00E202D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3</w:t>
            </w:r>
            <w:r w:rsidR="008842F2" w:rsidRPr="0089529C">
              <w:rPr>
                <w:sz w:val="18"/>
                <w:szCs w:val="18"/>
              </w:rPr>
              <w:t>,</w:t>
            </w:r>
            <w:r w:rsidR="00E202DC">
              <w:rPr>
                <w:sz w:val="18"/>
                <w:szCs w:val="18"/>
              </w:rPr>
              <w:t>157</w:t>
            </w:r>
          </w:p>
        </w:tc>
        <w:tc>
          <w:tcPr>
            <w:tcW w:w="717" w:type="pct"/>
            <w:tcBorders>
              <w:top w:val="nil"/>
              <w:left w:val="nil"/>
              <w:bottom w:val="nil"/>
              <w:right w:val="nil"/>
            </w:tcBorders>
            <w:vAlign w:val="bottom"/>
          </w:tcPr>
          <w:p w:rsidR="00DB03E8" w:rsidRPr="00B72FF6" w:rsidRDefault="00114F32" w:rsidP="00B72FF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B72FF6">
              <w:rPr>
                <w:sz w:val="18"/>
                <w:szCs w:val="18"/>
              </w:rPr>
              <w:t>(</w:t>
            </w:r>
            <w:r w:rsidR="00B72FF6" w:rsidRPr="00B72FF6">
              <w:rPr>
                <w:sz w:val="18"/>
                <w:szCs w:val="18"/>
              </w:rPr>
              <w:t>468</w:t>
            </w:r>
            <w:r w:rsidRPr="00B72FF6">
              <w:rPr>
                <w:sz w:val="18"/>
                <w:szCs w:val="18"/>
              </w:rPr>
              <w:t>)</w:t>
            </w:r>
          </w:p>
        </w:tc>
      </w:tr>
      <w:tr w:rsidR="00DB03E8" w:rsidRPr="0053635E" w:rsidTr="004F6412">
        <w:trPr>
          <w:cantSplit/>
          <w:jc w:val="center"/>
        </w:trPr>
        <w:tc>
          <w:tcPr>
            <w:tcW w:w="3594" w:type="pct"/>
            <w:tcBorders>
              <w:top w:val="nil"/>
              <w:left w:val="nil"/>
              <w:bottom w:val="nil"/>
              <w:right w:val="nil"/>
            </w:tcBorders>
          </w:tcPr>
          <w:p w:rsidR="00DB03E8" w:rsidRPr="00B72FF6" w:rsidRDefault="00DB03E8" w:rsidP="004F77DB">
            <w:pPr>
              <w:widowControl/>
              <w:suppressAutoHyphens/>
              <w:ind w:left="400" w:hanging="200"/>
              <w:rPr>
                <w:sz w:val="18"/>
                <w:szCs w:val="18"/>
              </w:rPr>
            </w:pPr>
            <w:r w:rsidRPr="00B72FF6">
              <w:rPr>
                <w:sz w:val="18"/>
                <w:szCs w:val="18"/>
              </w:rPr>
              <w:t>Other, net</w:t>
            </w:r>
            <w:r w:rsidRPr="00B72FF6">
              <w:rPr>
                <w:sz w:val="18"/>
                <w:szCs w:val="18"/>
              </w:rPr>
              <w:tab/>
            </w:r>
          </w:p>
        </w:tc>
        <w:tc>
          <w:tcPr>
            <w:tcW w:w="689" w:type="pct"/>
            <w:tcBorders>
              <w:top w:val="nil"/>
              <w:left w:val="nil"/>
              <w:bottom w:val="nil"/>
              <w:right w:val="nil"/>
            </w:tcBorders>
            <w:vAlign w:val="bottom"/>
          </w:tcPr>
          <w:p w:rsidR="00DB03E8" w:rsidRPr="0089529C" w:rsidRDefault="00DB03E8"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w:t>
            </w:r>
            <w:r w:rsidR="0089529C" w:rsidRPr="0089529C">
              <w:rPr>
                <w:sz w:val="18"/>
                <w:szCs w:val="18"/>
              </w:rPr>
              <w:t>384</w:t>
            </w:r>
            <w:r w:rsidRPr="0089529C">
              <w:rPr>
                <w:sz w:val="18"/>
                <w:szCs w:val="18"/>
              </w:rPr>
              <w:t>)</w:t>
            </w:r>
          </w:p>
        </w:tc>
        <w:tc>
          <w:tcPr>
            <w:tcW w:w="717" w:type="pct"/>
            <w:tcBorders>
              <w:top w:val="nil"/>
              <w:left w:val="nil"/>
              <w:bottom w:val="nil"/>
              <w:right w:val="nil"/>
            </w:tcBorders>
            <w:vAlign w:val="bottom"/>
          </w:tcPr>
          <w:p w:rsidR="00DB03E8" w:rsidRPr="00B72FF6" w:rsidRDefault="00DB03E8" w:rsidP="00B72FF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B72FF6">
              <w:rPr>
                <w:sz w:val="18"/>
                <w:szCs w:val="18"/>
              </w:rPr>
              <w:t>(</w:t>
            </w:r>
            <w:r w:rsidR="00B72FF6" w:rsidRPr="00B72FF6">
              <w:rPr>
                <w:sz w:val="18"/>
                <w:szCs w:val="18"/>
              </w:rPr>
              <w:t>73</w:t>
            </w:r>
            <w:r w:rsidRPr="00B72FF6">
              <w:rPr>
                <w:sz w:val="18"/>
                <w:szCs w:val="18"/>
              </w:rPr>
              <w:t>)</w:t>
            </w:r>
          </w:p>
        </w:tc>
      </w:tr>
      <w:tr w:rsidR="00DB03E8" w:rsidRPr="0053635E" w:rsidTr="004F6412">
        <w:trPr>
          <w:cantSplit/>
          <w:jc w:val="center"/>
        </w:trPr>
        <w:tc>
          <w:tcPr>
            <w:tcW w:w="3594" w:type="pct"/>
            <w:tcBorders>
              <w:top w:val="nil"/>
              <w:left w:val="nil"/>
              <w:bottom w:val="nil"/>
              <w:right w:val="nil"/>
            </w:tcBorders>
          </w:tcPr>
          <w:p w:rsidR="00DB03E8" w:rsidRPr="00B72FF6"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400" w:hanging="200"/>
              <w:rPr>
                <w:sz w:val="18"/>
                <w:szCs w:val="18"/>
              </w:rPr>
            </w:pPr>
            <w:r w:rsidRPr="00B72FF6">
              <w:rPr>
                <w:sz w:val="18"/>
                <w:szCs w:val="18"/>
              </w:rPr>
              <w:t>Changes in assets and liabilities:</w:t>
            </w:r>
          </w:p>
        </w:tc>
        <w:tc>
          <w:tcPr>
            <w:tcW w:w="689" w:type="pct"/>
            <w:tcBorders>
              <w:top w:val="nil"/>
              <w:left w:val="nil"/>
              <w:bottom w:val="nil"/>
              <w:right w:val="nil"/>
            </w:tcBorders>
            <w:vAlign w:val="bottom"/>
          </w:tcPr>
          <w:p w:rsidR="00DB03E8" w:rsidRPr="0089529C"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p>
        </w:tc>
        <w:tc>
          <w:tcPr>
            <w:tcW w:w="717" w:type="pct"/>
            <w:tcBorders>
              <w:top w:val="nil"/>
              <w:left w:val="nil"/>
              <w:bottom w:val="nil"/>
              <w:right w:val="nil"/>
            </w:tcBorders>
            <w:vAlign w:val="bottom"/>
          </w:tcPr>
          <w:p w:rsidR="00DB03E8" w:rsidRPr="0053635E"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r>
      <w:tr w:rsidR="00DB03E8" w:rsidRPr="0053635E" w:rsidTr="004F6412">
        <w:trPr>
          <w:cantSplit/>
          <w:jc w:val="center"/>
        </w:trPr>
        <w:tc>
          <w:tcPr>
            <w:tcW w:w="3594" w:type="pct"/>
            <w:tcBorders>
              <w:top w:val="nil"/>
              <w:left w:val="nil"/>
              <w:bottom w:val="nil"/>
              <w:right w:val="nil"/>
            </w:tcBorders>
          </w:tcPr>
          <w:p w:rsidR="00DB03E8" w:rsidRPr="00B72FF6" w:rsidRDefault="00DB03E8" w:rsidP="004F77DB">
            <w:pPr>
              <w:widowControl/>
              <w:suppressAutoHyphens/>
              <w:ind w:left="600" w:hanging="200"/>
              <w:rPr>
                <w:sz w:val="18"/>
                <w:szCs w:val="18"/>
              </w:rPr>
            </w:pPr>
            <w:r w:rsidRPr="00B72FF6">
              <w:rPr>
                <w:sz w:val="18"/>
                <w:szCs w:val="18"/>
              </w:rPr>
              <w:t>Accounts receivable</w:t>
            </w:r>
            <w:r w:rsidRPr="00B72FF6">
              <w:rPr>
                <w:sz w:val="18"/>
                <w:szCs w:val="18"/>
              </w:rPr>
              <w:tab/>
            </w:r>
          </w:p>
        </w:tc>
        <w:tc>
          <w:tcPr>
            <w:tcW w:w="689" w:type="pct"/>
            <w:tcBorders>
              <w:top w:val="nil"/>
              <w:left w:val="nil"/>
              <w:bottom w:val="nil"/>
              <w:right w:val="nil"/>
            </w:tcBorders>
            <w:vAlign w:val="bottom"/>
          </w:tcPr>
          <w:p w:rsidR="00DB03E8" w:rsidRPr="0089529C" w:rsidRDefault="00DB03E8"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w:t>
            </w:r>
            <w:r w:rsidR="007E3FA8" w:rsidRPr="0089529C">
              <w:rPr>
                <w:sz w:val="18"/>
                <w:szCs w:val="18"/>
              </w:rPr>
              <w:t>5</w:t>
            </w:r>
            <w:r w:rsidRPr="0089529C">
              <w:rPr>
                <w:sz w:val="18"/>
                <w:szCs w:val="18"/>
              </w:rPr>
              <w:t>,</w:t>
            </w:r>
            <w:r w:rsidR="0089529C" w:rsidRPr="0089529C">
              <w:rPr>
                <w:sz w:val="18"/>
                <w:szCs w:val="18"/>
              </w:rPr>
              <w:t>456</w:t>
            </w:r>
            <w:r w:rsidRPr="0089529C">
              <w:rPr>
                <w:sz w:val="18"/>
                <w:szCs w:val="18"/>
              </w:rPr>
              <w:t>)</w:t>
            </w:r>
          </w:p>
        </w:tc>
        <w:tc>
          <w:tcPr>
            <w:tcW w:w="717" w:type="pct"/>
            <w:tcBorders>
              <w:top w:val="nil"/>
              <w:left w:val="nil"/>
              <w:bottom w:val="nil"/>
              <w:right w:val="nil"/>
            </w:tcBorders>
            <w:vAlign w:val="bottom"/>
          </w:tcPr>
          <w:p w:rsidR="00DB03E8" w:rsidRPr="00B72FF6" w:rsidRDefault="00DB03E8" w:rsidP="00B72FF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B72FF6">
              <w:rPr>
                <w:sz w:val="18"/>
                <w:szCs w:val="18"/>
              </w:rPr>
              <w:t>(</w:t>
            </w:r>
            <w:r w:rsidR="00B72FF6" w:rsidRPr="00B72FF6">
              <w:rPr>
                <w:sz w:val="18"/>
                <w:szCs w:val="18"/>
              </w:rPr>
              <w:t>12</w:t>
            </w:r>
            <w:r w:rsidRPr="00B72FF6">
              <w:rPr>
                <w:sz w:val="18"/>
                <w:szCs w:val="18"/>
              </w:rPr>
              <w:t>,</w:t>
            </w:r>
            <w:r w:rsidR="00B72FF6" w:rsidRPr="00B72FF6">
              <w:rPr>
                <w:sz w:val="18"/>
                <w:szCs w:val="18"/>
              </w:rPr>
              <w:t>388</w:t>
            </w:r>
            <w:r w:rsidRPr="00B72FF6">
              <w:rPr>
                <w:sz w:val="18"/>
                <w:szCs w:val="18"/>
              </w:rPr>
              <w:t>)</w:t>
            </w:r>
          </w:p>
        </w:tc>
      </w:tr>
      <w:tr w:rsidR="00DB03E8" w:rsidRPr="0053635E" w:rsidTr="004F6412">
        <w:trPr>
          <w:cantSplit/>
          <w:jc w:val="center"/>
        </w:trPr>
        <w:tc>
          <w:tcPr>
            <w:tcW w:w="3594" w:type="pct"/>
            <w:tcBorders>
              <w:top w:val="nil"/>
              <w:left w:val="nil"/>
              <w:bottom w:val="nil"/>
              <w:right w:val="nil"/>
            </w:tcBorders>
          </w:tcPr>
          <w:p w:rsidR="00DB03E8" w:rsidRPr="00B72FF6" w:rsidRDefault="00DB03E8" w:rsidP="004F77DB">
            <w:pPr>
              <w:widowControl/>
              <w:suppressAutoHyphens/>
              <w:ind w:left="600" w:hanging="200"/>
              <w:rPr>
                <w:sz w:val="18"/>
                <w:szCs w:val="18"/>
              </w:rPr>
            </w:pPr>
            <w:r w:rsidRPr="00B72FF6">
              <w:rPr>
                <w:sz w:val="18"/>
                <w:szCs w:val="18"/>
              </w:rPr>
              <w:t>Other assets</w:t>
            </w:r>
            <w:r w:rsidRPr="00B72FF6">
              <w:rPr>
                <w:sz w:val="18"/>
                <w:szCs w:val="18"/>
              </w:rPr>
              <w:tab/>
            </w:r>
          </w:p>
        </w:tc>
        <w:tc>
          <w:tcPr>
            <w:tcW w:w="689" w:type="pct"/>
            <w:tcBorders>
              <w:top w:val="nil"/>
              <w:left w:val="nil"/>
              <w:bottom w:val="nil"/>
              <w:right w:val="nil"/>
            </w:tcBorders>
            <w:vAlign w:val="bottom"/>
          </w:tcPr>
          <w:p w:rsidR="00DB03E8" w:rsidRPr="0089529C" w:rsidRDefault="00DB03E8" w:rsidP="00E202D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w:t>
            </w:r>
            <w:r w:rsidR="0089529C" w:rsidRPr="0089529C">
              <w:rPr>
                <w:sz w:val="18"/>
                <w:szCs w:val="18"/>
              </w:rPr>
              <w:t>2,13</w:t>
            </w:r>
            <w:r w:rsidR="00E202DC">
              <w:rPr>
                <w:sz w:val="18"/>
                <w:szCs w:val="18"/>
              </w:rPr>
              <w:t>2</w:t>
            </w:r>
            <w:r w:rsidRPr="0089529C">
              <w:rPr>
                <w:sz w:val="18"/>
                <w:szCs w:val="18"/>
              </w:rPr>
              <w:t>)</w:t>
            </w:r>
          </w:p>
        </w:tc>
        <w:tc>
          <w:tcPr>
            <w:tcW w:w="717" w:type="pct"/>
            <w:tcBorders>
              <w:top w:val="nil"/>
              <w:left w:val="nil"/>
              <w:bottom w:val="nil"/>
              <w:right w:val="nil"/>
            </w:tcBorders>
            <w:vAlign w:val="bottom"/>
          </w:tcPr>
          <w:p w:rsidR="00DB03E8" w:rsidRPr="00B72FF6" w:rsidRDefault="00B72FF6" w:rsidP="00B72FF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B72FF6">
              <w:rPr>
                <w:sz w:val="18"/>
                <w:szCs w:val="18"/>
              </w:rPr>
              <w:t>(1,867)</w:t>
            </w:r>
          </w:p>
        </w:tc>
      </w:tr>
      <w:tr w:rsidR="00DB03E8" w:rsidRPr="0053635E" w:rsidTr="004F6412">
        <w:trPr>
          <w:cantSplit/>
          <w:jc w:val="center"/>
        </w:trPr>
        <w:tc>
          <w:tcPr>
            <w:tcW w:w="3594" w:type="pct"/>
            <w:tcBorders>
              <w:top w:val="nil"/>
              <w:left w:val="nil"/>
              <w:bottom w:val="nil"/>
              <w:right w:val="nil"/>
            </w:tcBorders>
          </w:tcPr>
          <w:p w:rsidR="00DB03E8" w:rsidRPr="00B72FF6" w:rsidRDefault="00DB03E8" w:rsidP="004F77DB">
            <w:pPr>
              <w:widowControl/>
              <w:suppressAutoHyphens/>
              <w:ind w:left="600" w:hanging="200"/>
              <w:rPr>
                <w:sz w:val="18"/>
                <w:szCs w:val="18"/>
              </w:rPr>
            </w:pPr>
            <w:r w:rsidRPr="00B72FF6">
              <w:rPr>
                <w:sz w:val="18"/>
                <w:szCs w:val="18"/>
              </w:rPr>
              <w:t>Accounts payable</w:t>
            </w:r>
            <w:r w:rsidRPr="00B72FF6">
              <w:rPr>
                <w:sz w:val="18"/>
                <w:szCs w:val="18"/>
              </w:rPr>
              <w:tab/>
            </w:r>
          </w:p>
        </w:tc>
        <w:tc>
          <w:tcPr>
            <w:tcW w:w="689" w:type="pct"/>
            <w:tcBorders>
              <w:top w:val="nil"/>
              <w:left w:val="nil"/>
              <w:bottom w:val="nil"/>
              <w:right w:val="nil"/>
            </w:tcBorders>
            <w:vAlign w:val="bottom"/>
          </w:tcPr>
          <w:p w:rsidR="00DB03E8" w:rsidRPr="0089529C" w:rsidRDefault="0089529C"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2</w:t>
            </w:r>
            <w:r w:rsidR="00D62D5C" w:rsidRPr="0089529C">
              <w:rPr>
                <w:sz w:val="18"/>
                <w:szCs w:val="18"/>
              </w:rPr>
              <w:t>,</w:t>
            </w:r>
            <w:r w:rsidRPr="0089529C">
              <w:rPr>
                <w:sz w:val="18"/>
                <w:szCs w:val="18"/>
              </w:rPr>
              <w:t>054</w:t>
            </w:r>
          </w:p>
        </w:tc>
        <w:tc>
          <w:tcPr>
            <w:tcW w:w="717" w:type="pct"/>
            <w:tcBorders>
              <w:top w:val="nil"/>
              <w:left w:val="nil"/>
              <w:bottom w:val="nil"/>
              <w:right w:val="nil"/>
            </w:tcBorders>
            <w:vAlign w:val="bottom"/>
          </w:tcPr>
          <w:p w:rsidR="00DB03E8" w:rsidRPr="00B72FF6" w:rsidRDefault="00B72FF6" w:rsidP="00B72FF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B72FF6">
              <w:rPr>
                <w:sz w:val="18"/>
                <w:szCs w:val="18"/>
              </w:rPr>
              <w:t>2</w:t>
            </w:r>
            <w:r w:rsidR="00693271" w:rsidRPr="00B72FF6">
              <w:rPr>
                <w:sz w:val="18"/>
                <w:szCs w:val="18"/>
              </w:rPr>
              <w:t>,</w:t>
            </w:r>
            <w:r w:rsidRPr="00B72FF6">
              <w:rPr>
                <w:sz w:val="18"/>
                <w:szCs w:val="18"/>
              </w:rPr>
              <w:t>776</w:t>
            </w:r>
          </w:p>
        </w:tc>
      </w:tr>
      <w:tr w:rsidR="00DB03E8" w:rsidRPr="0053635E" w:rsidTr="004F6412">
        <w:trPr>
          <w:cantSplit/>
          <w:jc w:val="center"/>
        </w:trPr>
        <w:tc>
          <w:tcPr>
            <w:tcW w:w="3594" w:type="pct"/>
            <w:tcBorders>
              <w:top w:val="nil"/>
              <w:left w:val="nil"/>
              <w:bottom w:val="nil"/>
              <w:right w:val="nil"/>
            </w:tcBorders>
          </w:tcPr>
          <w:p w:rsidR="00DB03E8" w:rsidRPr="00B72FF6" w:rsidRDefault="002A07F9" w:rsidP="004F77DB">
            <w:pPr>
              <w:widowControl/>
              <w:suppressAutoHyphens/>
              <w:spacing w:after="20"/>
              <w:ind w:left="600" w:hanging="200"/>
              <w:rPr>
                <w:sz w:val="18"/>
                <w:szCs w:val="18"/>
              </w:rPr>
            </w:pPr>
            <w:r w:rsidRPr="00B72FF6">
              <w:rPr>
                <w:sz w:val="18"/>
                <w:szCs w:val="18"/>
              </w:rPr>
              <w:t>Accrued expenses and other liabilities</w:t>
            </w:r>
            <w:r w:rsidR="00DB03E8" w:rsidRPr="00B72FF6">
              <w:rPr>
                <w:sz w:val="18"/>
                <w:szCs w:val="18"/>
              </w:rPr>
              <w:tab/>
            </w:r>
          </w:p>
        </w:tc>
        <w:tc>
          <w:tcPr>
            <w:tcW w:w="689" w:type="pct"/>
            <w:tcBorders>
              <w:top w:val="nil"/>
              <w:left w:val="nil"/>
              <w:bottom w:val="nil"/>
              <w:right w:val="nil"/>
            </w:tcBorders>
            <w:vAlign w:val="bottom"/>
          </w:tcPr>
          <w:p w:rsidR="00DB03E8" w:rsidRPr="0089529C" w:rsidRDefault="0089529C" w:rsidP="005A7D8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8"/>
                <w:szCs w:val="18"/>
              </w:rPr>
            </w:pPr>
            <w:r w:rsidRPr="0089529C">
              <w:rPr>
                <w:sz w:val="18"/>
                <w:szCs w:val="18"/>
              </w:rPr>
              <w:t>(9</w:t>
            </w:r>
            <w:r w:rsidR="002A07F9" w:rsidRPr="0089529C">
              <w:rPr>
                <w:sz w:val="18"/>
                <w:szCs w:val="18"/>
              </w:rPr>
              <w:t>,</w:t>
            </w:r>
            <w:r w:rsidR="00E202DC">
              <w:rPr>
                <w:sz w:val="18"/>
                <w:szCs w:val="18"/>
              </w:rPr>
              <w:t>3</w:t>
            </w:r>
            <w:r w:rsidR="005A7D8E">
              <w:rPr>
                <w:sz w:val="18"/>
                <w:szCs w:val="18"/>
              </w:rPr>
              <w:t>0</w:t>
            </w:r>
            <w:r w:rsidR="00E202DC">
              <w:rPr>
                <w:sz w:val="18"/>
                <w:szCs w:val="18"/>
              </w:rPr>
              <w:t>4</w:t>
            </w:r>
            <w:r w:rsidRPr="0089529C">
              <w:rPr>
                <w:sz w:val="18"/>
                <w:szCs w:val="18"/>
              </w:rPr>
              <w:t>)</w:t>
            </w:r>
          </w:p>
        </w:tc>
        <w:tc>
          <w:tcPr>
            <w:tcW w:w="717" w:type="pct"/>
            <w:tcBorders>
              <w:top w:val="nil"/>
              <w:left w:val="nil"/>
              <w:bottom w:val="nil"/>
              <w:right w:val="nil"/>
            </w:tcBorders>
            <w:vAlign w:val="bottom"/>
          </w:tcPr>
          <w:p w:rsidR="00DB03E8" w:rsidRPr="00B72FF6" w:rsidRDefault="00B72FF6" w:rsidP="00B72FF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8"/>
                <w:szCs w:val="18"/>
              </w:rPr>
            </w:pPr>
            <w:r w:rsidRPr="00B72FF6">
              <w:rPr>
                <w:sz w:val="18"/>
                <w:szCs w:val="18"/>
              </w:rPr>
              <w:t>(12</w:t>
            </w:r>
            <w:r w:rsidR="002A07F9" w:rsidRPr="00B72FF6">
              <w:rPr>
                <w:sz w:val="18"/>
                <w:szCs w:val="18"/>
              </w:rPr>
              <w:t>,</w:t>
            </w:r>
            <w:r w:rsidRPr="00B72FF6">
              <w:rPr>
                <w:sz w:val="18"/>
                <w:szCs w:val="18"/>
              </w:rPr>
              <w:t>422)</w:t>
            </w:r>
          </w:p>
        </w:tc>
      </w:tr>
      <w:tr w:rsidR="00DB03E8" w:rsidRPr="0053635E" w:rsidTr="004F6412">
        <w:trPr>
          <w:cantSplit/>
          <w:jc w:val="center"/>
        </w:trPr>
        <w:tc>
          <w:tcPr>
            <w:tcW w:w="3594" w:type="pct"/>
            <w:tcBorders>
              <w:top w:val="nil"/>
              <w:left w:val="nil"/>
              <w:bottom w:val="nil"/>
              <w:right w:val="nil"/>
            </w:tcBorders>
          </w:tcPr>
          <w:p w:rsidR="00DB03E8" w:rsidRPr="009F1DA6" w:rsidRDefault="00DB03E8" w:rsidP="004F77DB">
            <w:pPr>
              <w:widowControl/>
              <w:suppressAutoHyphens/>
              <w:ind w:left="200" w:hanging="200"/>
              <w:rPr>
                <w:b/>
                <w:sz w:val="18"/>
                <w:szCs w:val="18"/>
              </w:rPr>
            </w:pPr>
            <w:r w:rsidRPr="009F1DA6">
              <w:rPr>
                <w:b/>
                <w:sz w:val="18"/>
                <w:szCs w:val="18"/>
              </w:rPr>
              <w:t>Net cash provided by operating activities</w:t>
            </w:r>
            <w:r w:rsidRPr="009F1DA6">
              <w:rPr>
                <w:b/>
                <w:sz w:val="18"/>
                <w:szCs w:val="18"/>
              </w:rPr>
              <w:tab/>
            </w:r>
          </w:p>
        </w:tc>
        <w:tc>
          <w:tcPr>
            <w:tcW w:w="689" w:type="pct"/>
            <w:tcBorders>
              <w:top w:val="nil"/>
              <w:left w:val="nil"/>
              <w:bottom w:val="nil"/>
              <w:right w:val="nil"/>
            </w:tcBorders>
            <w:vAlign w:val="bottom"/>
          </w:tcPr>
          <w:p w:rsidR="00DB03E8" w:rsidRPr="0089529C" w:rsidRDefault="0089529C" w:rsidP="005A7D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9529C">
              <w:rPr>
                <w:sz w:val="18"/>
                <w:szCs w:val="18"/>
              </w:rPr>
              <w:t>2</w:t>
            </w:r>
            <w:r w:rsidR="00E202DC">
              <w:rPr>
                <w:sz w:val="18"/>
                <w:szCs w:val="18"/>
              </w:rPr>
              <w:t>2</w:t>
            </w:r>
            <w:r w:rsidR="00DB03E8" w:rsidRPr="0089529C">
              <w:rPr>
                <w:sz w:val="18"/>
                <w:szCs w:val="18"/>
              </w:rPr>
              <w:t>,</w:t>
            </w:r>
            <w:r w:rsidR="00E202DC">
              <w:rPr>
                <w:sz w:val="18"/>
                <w:szCs w:val="18"/>
              </w:rPr>
              <w:t>9</w:t>
            </w:r>
            <w:r w:rsidR="005A7D8E">
              <w:rPr>
                <w:sz w:val="18"/>
                <w:szCs w:val="18"/>
              </w:rPr>
              <w:t>5</w:t>
            </w:r>
            <w:r w:rsidR="00E202DC">
              <w:rPr>
                <w:sz w:val="18"/>
                <w:szCs w:val="18"/>
              </w:rPr>
              <w:t>1</w:t>
            </w:r>
          </w:p>
        </w:tc>
        <w:tc>
          <w:tcPr>
            <w:tcW w:w="717" w:type="pct"/>
            <w:tcBorders>
              <w:top w:val="nil"/>
              <w:left w:val="nil"/>
              <w:bottom w:val="nil"/>
              <w:right w:val="nil"/>
            </w:tcBorders>
            <w:vAlign w:val="bottom"/>
          </w:tcPr>
          <w:p w:rsidR="00DB03E8" w:rsidRPr="00B72FF6" w:rsidRDefault="00B72FF6" w:rsidP="00B72FF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B72FF6">
              <w:rPr>
                <w:sz w:val="18"/>
                <w:szCs w:val="18"/>
              </w:rPr>
              <w:t>4</w:t>
            </w:r>
            <w:r w:rsidR="00DB03E8" w:rsidRPr="00B72FF6">
              <w:rPr>
                <w:sz w:val="18"/>
                <w:szCs w:val="18"/>
              </w:rPr>
              <w:t>,</w:t>
            </w:r>
            <w:r w:rsidRPr="00B72FF6">
              <w:rPr>
                <w:sz w:val="18"/>
                <w:szCs w:val="18"/>
              </w:rPr>
              <w:t>415</w:t>
            </w:r>
          </w:p>
        </w:tc>
      </w:tr>
      <w:tr w:rsidR="00EC06B3" w:rsidRPr="0053635E" w:rsidTr="004F6412">
        <w:trPr>
          <w:cantSplit/>
          <w:jc w:val="center"/>
        </w:trPr>
        <w:tc>
          <w:tcPr>
            <w:tcW w:w="3594" w:type="pct"/>
            <w:tcBorders>
              <w:top w:val="nil"/>
              <w:left w:val="nil"/>
              <w:bottom w:val="nil"/>
              <w:right w:val="nil"/>
            </w:tcBorders>
          </w:tcPr>
          <w:p w:rsidR="00EC06B3" w:rsidRPr="0053635E" w:rsidRDefault="00EC06B3"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18"/>
                <w:szCs w:val="18"/>
                <w:highlight w:val="yellow"/>
              </w:rPr>
            </w:pPr>
          </w:p>
        </w:tc>
        <w:tc>
          <w:tcPr>
            <w:tcW w:w="689" w:type="pct"/>
            <w:tcBorders>
              <w:top w:val="nil"/>
              <w:left w:val="nil"/>
              <w:bottom w:val="nil"/>
              <w:right w:val="nil"/>
            </w:tcBorders>
            <w:vAlign w:val="bottom"/>
          </w:tcPr>
          <w:p w:rsidR="00EC06B3" w:rsidRPr="0089529C" w:rsidRDefault="00EC06B3"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p>
        </w:tc>
        <w:tc>
          <w:tcPr>
            <w:tcW w:w="717" w:type="pct"/>
            <w:tcBorders>
              <w:top w:val="nil"/>
              <w:left w:val="nil"/>
              <w:bottom w:val="nil"/>
              <w:right w:val="nil"/>
            </w:tcBorders>
            <w:vAlign w:val="bottom"/>
          </w:tcPr>
          <w:p w:rsidR="00EC06B3" w:rsidRPr="0053635E" w:rsidRDefault="00EC06B3"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r>
      <w:tr w:rsidR="00DB03E8" w:rsidRPr="0053635E" w:rsidTr="004F6412">
        <w:trPr>
          <w:cantSplit/>
          <w:jc w:val="center"/>
        </w:trPr>
        <w:tc>
          <w:tcPr>
            <w:tcW w:w="3594" w:type="pct"/>
            <w:tcBorders>
              <w:top w:val="nil"/>
              <w:left w:val="nil"/>
              <w:bottom w:val="nil"/>
              <w:right w:val="nil"/>
            </w:tcBorders>
          </w:tcPr>
          <w:p w:rsidR="00DB03E8" w:rsidRPr="0029283C"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18"/>
                <w:szCs w:val="18"/>
              </w:rPr>
            </w:pPr>
            <w:r w:rsidRPr="0029283C">
              <w:rPr>
                <w:b/>
                <w:bCs/>
                <w:sz w:val="18"/>
                <w:szCs w:val="18"/>
              </w:rPr>
              <w:t>Cash flows from investing activities</w:t>
            </w:r>
          </w:p>
        </w:tc>
        <w:tc>
          <w:tcPr>
            <w:tcW w:w="689" w:type="pct"/>
            <w:tcBorders>
              <w:top w:val="nil"/>
              <w:left w:val="nil"/>
              <w:bottom w:val="nil"/>
              <w:right w:val="nil"/>
            </w:tcBorders>
            <w:vAlign w:val="bottom"/>
          </w:tcPr>
          <w:p w:rsidR="00DB03E8" w:rsidRPr="0053635E"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c>
          <w:tcPr>
            <w:tcW w:w="717" w:type="pct"/>
            <w:tcBorders>
              <w:top w:val="nil"/>
              <w:left w:val="nil"/>
              <w:bottom w:val="nil"/>
              <w:right w:val="nil"/>
            </w:tcBorders>
            <w:vAlign w:val="bottom"/>
          </w:tcPr>
          <w:p w:rsidR="00DB03E8" w:rsidRPr="0053635E"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r>
      <w:tr w:rsidR="00DB03E8" w:rsidRPr="0053635E" w:rsidTr="004F6412">
        <w:trPr>
          <w:cantSplit/>
          <w:jc w:val="center"/>
        </w:trPr>
        <w:tc>
          <w:tcPr>
            <w:tcW w:w="3594" w:type="pct"/>
            <w:tcBorders>
              <w:top w:val="nil"/>
              <w:left w:val="nil"/>
              <w:bottom w:val="nil"/>
              <w:right w:val="nil"/>
            </w:tcBorders>
          </w:tcPr>
          <w:p w:rsidR="00DB03E8" w:rsidRPr="0029283C" w:rsidRDefault="00DB03E8" w:rsidP="004F77DB">
            <w:pPr>
              <w:widowControl/>
              <w:suppressAutoHyphens/>
              <w:ind w:left="200" w:hanging="200"/>
              <w:rPr>
                <w:sz w:val="18"/>
                <w:szCs w:val="18"/>
              </w:rPr>
            </w:pPr>
            <w:r w:rsidRPr="0029283C">
              <w:rPr>
                <w:sz w:val="18"/>
                <w:szCs w:val="18"/>
              </w:rPr>
              <w:t>Proceeds from sale of leasing equipment</w:t>
            </w:r>
            <w:r w:rsidRPr="0029283C">
              <w:rPr>
                <w:sz w:val="18"/>
                <w:szCs w:val="18"/>
              </w:rPr>
              <w:tab/>
            </w:r>
          </w:p>
        </w:tc>
        <w:tc>
          <w:tcPr>
            <w:tcW w:w="689" w:type="pct"/>
            <w:tcBorders>
              <w:top w:val="nil"/>
              <w:left w:val="nil"/>
              <w:bottom w:val="nil"/>
              <w:right w:val="nil"/>
            </w:tcBorders>
            <w:vAlign w:val="bottom"/>
          </w:tcPr>
          <w:p w:rsidR="00DB03E8" w:rsidRPr="00A86FE8" w:rsidRDefault="0089529C" w:rsidP="0089529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A86FE8">
              <w:rPr>
                <w:sz w:val="18"/>
                <w:szCs w:val="18"/>
              </w:rPr>
              <w:t>6</w:t>
            </w:r>
            <w:r w:rsidR="00D62D5C" w:rsidRPr="00A86FE8">
              <w:rPr>
                <w:sz w:val="18"/>
                <w:szCs w:val="18"/>
              </w:rPr>
              <w:t>,</w:t>
            </w:r>
            <w:r w:rsidRPr="00A86FE8">
              <w:rPr>
                <w:sz w:val="18"/>
                <w:szCs w:val="18"/>
              </w:rPr>
              <w:t>042</w:t>
            </w:r>
          </w:p>
        </w:tc>
        <w:tc>
          <w:tcPr>
            <w:tcW w:w="717" w:type="pct"/>
            <w:tcBorders>
              <w:top w:val="nil"/>
              <w:left w:val="nil"/>
              <w:bottom w:val="nil"/>
              <w:right w:val="nil"/>
            </w:tcBorders>
            <w:vAlign w:val="bottom"/>
          </w:tcPr>
          <w:p w:rsidR="00DB03E8" w:rsidRPr="0029283C" w:rsidRDefault="0029283C" w:rsidP="0029283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29283C">
              <w:rPr>
                <w:sz w:val="18"/>
                <w:szCs w:val="18"/>
              </w:rPr>
              <w:t>835</w:t>
            </w:r>
          </w:p>
        </w:tc>
      </w:tr>
      <w:tr w:rsidR="00DB03E8" w:rsidRPr="0053635E" w:rsidTr="004F6412">
        <w:trPr>
          <w:cantSplit/>
          <w:jc w:val="center"/>
        </w:trPr>
        <w:tc>
          <w:tcPr>
            <w:tcW w:w="3594" w:type="pct"/>
            <w:tcBorders>
              <w:top w:val="nil"/>
              <w:left w:val="nil"/>
              <w:bottom w:val="nil"/>
              <w:right w:val="nil"/>
            </w:tcBorders>
          </w:tcPr>
          <w:p w:rsidR="00DB03E8" w:rsidRPr="0029283C" w:rsidRDefault="00DB03E8" w:rsidP="004F77DB">
            <w:pPr>
              <w:widowControl/>
              <w:suppressAutoHyphens/>
              <w:ind w:left="200" w:hanging="200"/>
              <w:rPr>
                <w:sz w:val="18"/>
                <w:szCs w:val="18"/>
              </w:rPr>
            </w:pPr>
            <w:r w:rsidRPr="0029283C">
              <w:rPr>
                <w:sz w:val="18"/>
                <w:szCs w:val="18"/>
              </w:rPr>
              <w:t>Collections on net investment in direct finance leases, net of interest earned</w:t>
            </w:r>
            <w:r w:rsidRPr="0029283C">
              <w:rPr>
                <w:sz w:val="18"/>
                <w:szCs w:val="18"/>
              </w:rPr>
              <w:tab/>
            </w:r>
          </w:p>
        </w:tc>
        <w:tc>
          <w:tcPr>
            <w:tcW w:w="689" w:type="pct"/>
            <w:tcBorders>
              <w:top w:val="nil"/>
              <w:left w:val="nil"/>
              <w:bottom w:val="nil"/>
              <w:right w:val="nil"/>
            </w:tcBorders>
            <w:vAlign w:val="bottom"/>
          </w:tcPr>
          <w:p w:rsidR="00DB03E8" w:rsidRPr="00A86FE8" w:rsidRDefault="00A86FE8" w:rsidP="00A86FE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A86FE8">
              <w:rPr>
                <w:sz w:val="18"/>
                <w:szCs w:val="18"/>
              </w:rPr>
              <w:t>1</w:t>
            </w:r>
            <w:r w:rsidR="00DB03E8" w:rsidRPr="00A86FE8">
              <w:rPr>
                <w:sz w:val="18"/>
                <w:szCs w:val="18"/>
              </w:rPr>
              <w:t>,</w:t>
            </w:r>
            <w:r w:rsidRPr="00A86FE8">
              <w:rPr>
                <w:sz w:val="18"/>
                <w:szCs w:val="18"/>
              </w:rPr>
              <w:t>187</w:t>
            </w:r>
          </w:p>
        </w:tc>
        <w:tc>
          <w:tcPr>
            <w:tcW w:w="717" w:type="pct"/>
            <w:tcBorders>
              <w:top w:val="nil"/>
              <w:left w:val="nil"/>
              <w:bottom w:val="nil"/>
              <w:right w:val="nil"/>
            </w:tcBorders>
            <w:vAlign w:val="bottom"/>
          </w:tcPr>
          <w:p w:rsidR="00DB03E8" w:rsidRPr="0029283C" w:rsidRDefault="0029283C" w:rsidP="0029283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29283C">
              <w:rPr>
                <w:sz w:val="18"/>
                <w:szCs w:val="18"/>
              </w:rPr>
              <w:t>1</w:t>
            </w:r>
            <w:r w:rsidR="009D5EB7" w:rsidRPr="0029283C">
              <w:rPr>
                <w:sz w:val="18"/>
                <w:szCs w:val="18"/>
              </w:rPr>
              <w:t>,</w:t>
            </w:r>
            <w:r w:rsidRPr="0029283C">
              <w:rPr>
                <w:sz w:val="18"/>
                <w:szCs w:val="18"/>
              </w:rPr>
              <w:t>460</w:t>
            </w:r>
          </w:p>
        </w:tc>
      </w:tr>
      <w:tr w:rsidR="00DB03E8" w:rsidRPr="0053635E" w:rsidTr="004F6412">
        <w:trPr>
          <w:cantSplit/>
          <w:jc w:val="center"/>
        </w:trPr>
        <w:tc>
          <w:tcPr>
            <w:tcW w:w="3594" w:type="pct"/>
            <w:tcBorders>
              <w:top w:val="nil"/>
              <w:left w:val="nil"/>
              <w:bottom w:val="nil"/>
              <w:right w:val="nil"/>
            </w:tcBorders>
          </w:tcPr>
          <w:p w:rsidR="00DB03E8" w:rsidRPr="0029283C" w:rsidRDefault="00DB03E8" w:rsidP="004F77DB">
            <w:pPr>
              <w:widowControl/>
              <w:suppressAutoHyphens/>
              <w:ind w:left="200" w:hanging="200"/>
              <w:rPr>
                <w:sz w:val="18"/>
                <w:szCs w:val="18"/>
              </w:rPr>
            </w:pPr>
            <w:r w:rsidRPr="0029283C">
              <w:rPr>
                <w:sz w:val="18"/>
                <w:szCs w:val="18"/>
              </w:rPr>
              <w:t>Purchase of leasing equipment</w:t>
            </w:r>
            <w:r w:rsidRPr="0029283C">
              <w:rPr>
                <w:sz w:val="18"/>
                <w:szCs w:val="18"/>
              </w:rPr>
              <w:tab/>
            </w:r>
          </w:p>
        </w:tc>
        <w:tc>
          <w:tcPr>
            <w:tcW w:w="689" w:type="pct"/>
            <w:tcBorders>
              <w:top w:val="nil"/>
              <w:left w:val="nil"/>
              <w:bottom w:val="nil"/>
              <w:right w:val="nil"/>
            </w:tcBorders>
            <w:vAlign w:val="bottom"/>
          </w:tcPr>
          <w:p w:rsidR="00DB03E8" w:rsidRPr="00A86FE8" w:rsidRDefault="00DB03E8" w:rsidP="005A7D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A86FE8">
              <w:rPr>
                <w:sz w:val="18"/>
                <w:szCs w:val="18"/>
              </w:rPr>
              <w:t>(</w:t>
            </w:r>
            <w:r w:rsidR="007E3FA8" w:rsidRPr="00A86FE8">
              <w:rPr>
                <w:sz w:val="18"/>
                <w:szCs w:val="18"/>
              </w:rPr>
              <w:t>1</w:t>
            </w:r>
            <w:r w:rsidR="00A86FE8" w:rsidRPr="00A86FE8">
              <w:rPr>
                <w:sz w:val="18"/>
                <w:szCs w:val="18"/>
              </w:rPr>
              <w:t>5</w:t>
            </w:r>
            <w:r w:rsidRPr="00A86FE8">
              <w:rPr>
                <w:sz w:val="18"/>
                <w:szCs w:val="18"/>
              </w:rPr>
              <w:t>,</w:t>
            </w:r>
            <w:r w:rsidR="00A86FE8" w:rsidRPr="00A86FE8">
              <w:rPr>
                <w:sz w:val="18"/>
                <w:szCs w:val="18"/>
              </w:rPr>
              <w:t>7</w:t>
            </w:r>
            <w:r w:rsidR="005A7D8E">
              <w:rPr>
                <w:sz w:val="18"/>
                <w:szCs w:val="18"/>
              </w:rPr>
              <w:t>7</w:t>
            </w:r>
            <w:r w:rsidR="00E202DC">
              <w:rPr>
                <w:sz w:val="18"/>
                <w:szCs w:val="18"/>
              </w:rPr>
              <w:t>7</w:t>
            </w:r>
            <w:r w:rsidR="00A86FE8" w:rsidRPr="00A86FE8">
              <w:rPr>
                <w:sz w:val="18"/>
                <w:szCs w:val="18"/>
              </w:rPr>
              <w:t>)</w:t>
            </w:r>
          </w:p>
        </w:tc>
        <w:tc>
          <w:tcPr>
            <w:tcW w:w="717" w:type="pct"/>
            <w:tcBorders>
              <w:top w:val="nil"/>
              <w:left w:val="nil"/>
              <w:bottom w:val="nil"/>
              <w:right w:val="nil"/>
            </w:tcBorders>
            <w:vAlign w:val="bottom"/>
          </w:tcPr>
          <w:p w:rsidR="00DB03E8" w:rsidRPr="0029283C" w:rsidRDefault="00DB03E8" w:rsidP="0029283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29283C">
              <w:rPr>
                <w:sz w:val="18"/>
                <w:szCs w:val="18"/>
              </w:rPr>
              <w:t>(</w:t>
            </w:r>
            <w:r w:rsidR="000C787D" w:rsidRPr="0029283C">
              <w:rPr>
                <w:sz w:val="18"/>
                <w:szCs w:val="18"/>
              </w:rPr>
              <w:t>3</w:t>
            </w:r>
            <w:r w:rsidR="0029283C" w:rsidRPr="0029283C">
              <w:rPr>
                <w:sz w:val="18"/>
                <w:szCs w:val="18"/>
              </w:rPr>
              <w:t>3</w:t>
            </w:r>
            <w:r w:rsidRPr="0029283C">
              <w:rPr>
                <w:sz w:val="18"/>
                <w:szCs w:val="18"/>
              </w:rPr>
              <w:t>,</w:t>
            </w:r>
            <w:r w:rsidR="0029283C" w:rsidRPr="0029283C">
              <w:rPr>
                <w:sz w:val="18"/>
                <w:szCs w:val="18"/>
              </w:rPr>
              <w:t>478</w:t>
            </w:r>
            <w:r w:rsidRPr="0029283C">
              <w:rPr>
                <w:sz w:val="18"/>
                <w:szCs w:val="18"/>
              </w:rPr>
              <w:t>)</w:t>
            </w:r>
          </w:p>
        </w:tc>
      </w:tr>
      <w:tr w:rsidR="00DB03E8" w:rsidRPr="0053635E" w:rsidTr="004F6412">
        <w:trPr>
          <w:cantSplit/>
          <w:jc w:val="center"/>
        </w:trPr>
        <w:tc>
          <w:tcPr>
            <w:tcW w:w="3594" w:type="pct"/>
            <w:tcBorders>
              <w:top w:val="nil"/>
              <w:left w:val="nil"/>
              <w:bottom w:val="nil"/>
              <w:right w:val="nil"/>
            </w:tcBorders>
          </w:tcPr>
          <w:p w:rsidR="00DB03E8" w:rsidRPr="0029283C" w:rsidRDefault="00DB03E8" w:rsidP="004F77DB">
            <w:pPr>
              <w:widowControl/>
              <w:suppressAutoHyphens/>
              <w:spacing w:after="20"/>
              <w:ind w:left="200" w:hanging="200"/>
              <w:rPr>
                <w:sz w:val="18"/>
                <w:szCs w:val="18"/>
              </w:rPr>
            </w:pPr>
            <w:r w:rsidRPr="0029283C">
              <w:rPr>
                <w:sz w:val="18"/>
                <w:szCs w:val="18"/>
              </w:rPr>
              <w:t>Purchase of fixed assets</w:t>
            </w:r>
            <w:r w:rsidRPr="0029283C">
              <w:rPr>
                <w:sz w:val="18"/>
                <w:szCs w:val="18"/>
              </w:rPr>
              <w:tab/>
            </w:r>
          </w:p>
        </w:tc>
        <w:tc>
          <w:tcPr>
            <w:tcW w:w="689" w:type="pct"/>
            <w:tcBorders>
              <w:top w:val="nil"/>
              <w:left w:val="nil"/>
              <w:bottom w:val="nil"/>
              <w:right w:val="nil"/>
            </w:tcBorders>
            <w:vAlign w:val="bottom"/>
          </w:tcPr>
          <w:p w:rsidR="00DB03E8" w:rsidRPr="00A86FE8" w:rsidRDefault="00DB03E8" w:rsidP="00A86FE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8"/>
                <w:szCs w:val="18"/>
              </w:rPr>
            </w:pPr>
            <w:r w:rsidRPr="00A86FE8">
              <w:rPr>
                <w:sz w:val="18"/>
                <w:szCs w:val="18"/>
              </w:rPr>
              <w:t>(</w:t>
            </w:r>
            <w:r w:rsidR="00A86FE8" w:rsidRPr="00A86FE8">
              <w:rPr>
                <w:sz w:val="18"/>
                <w:szCs w:val="18"/>
              </w:rPr>
              <w:t>631</w:t>
            </w:r>
            <w:r w:rsidRPr="00A86FE8">
              <w:rPr>
                <w:sz w:val="18"/>
                <w:szCs w:val="18"/>
              </w:rPr>
              <w:t>)</w:t>
            </w:r>
          </w:p>
        </w:tc>
        <w:tc>
          <w:tcPr>
            <w:tcW w:w="717" w:type="pct"/>
            <w:tcBorders>
              <w:top w:val="nil"/>
              <w:left w:val="nil"/>
              <w:bottom w:val="nil"/>
              <w:right w:val="nil"/>
            </w:tcBorders>
            <w:vAlign w:val="bottom"/>
          </w:tcPr>
          <w:p w:rsidR="00DB03E8" w:rsidRPr="0029283C" w:rsidRDefault="00DB03E8" w:rsidP="0029283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8"/>
                <w:szCs w:val="18"/>
              </w:rPr>
            </w:pPr>
            <w:r w:rsidRPr="0029283C">
              <w:rPr>
                <w:sz w:val="18"/>
                <w:szCs w:val="18"/>
              </w:rPr>
              <w:t>(</w:t>
            </w:r>
            <w:r w:rsidR="0029283C" w:rsidRPr="0029283C">
              <w:rPr>
                <w:sz w:val="18"/>
                <w:szCs w:val="18"/>
              </w:rPr>
              <w:t>783</w:t>
            </w:r>
            <w:r w:rsidRPr="0029283C">
              <w:rPr>
                <w:sz w:val="18"/>
                <w:szCs w:val="18"/>
              </w:rPr>
              <w:t>)</w:t>
            </w:r>
          </w:p>
        </w:tc>
      </w:tr>
      <w:tr w:rsidR="00DB03E8" w:rsidRPr="0053635E" w:rsidTr="004F6412">
        <w:trPr>
          <w:cantSplit/>
          <w:jc w:val="center"/>
        </w:trPr>
        <w:tc>
          <w:tcPr>
            <w:tcW w:w="3594" w:type="pct"/>
            <w:tcBorders>
              <w:top w:val="nil"/>
              <w:left w:val="nil"/>
              <w:bottom w:val="nil"/>
              <w:right w:val="nil"/>
            </w:tcBorders>
          </w:tcPr>
          <w:p w:rsidR="00DB03E8" w:rsidRPr="009F1DA6" w:rsidRDefault="00D43E1D" w:rsidP="004F77DB">
            <w:pPr>
              <w:widowControl/>
              <w:suppressAutoHyphens/>
              <w:ind w:left="200" w:hanging="200"/>
              <w:rPr>
                <w:b/>
                <w:sz w:val="18"/>
                <w:szCs w:val="18"/>
              </w:rPr>
            </w:pPr>
            <w:r w:rsidRPr="009F1DA6">
              <w:rPr>
                <w:b/>
                <w:sz w:val="18"/>
                <w:szCs w:val="18"/>
              </w:rPr>
              <w:t>Net cash used in</w:t>
            </w:r>
            <w:r w:rsidR="00DB03E8" w:rsidRPr="009F1DA6">
              <w:rPr>
                <w:b/>
                <w:sz w:val="18"/>
                <w:szCs w:val="18"/>
              </w:rPr>
              <w:t xml:space="preserve"> investing activities</w:t>
            </w:r>
            <w:r w:rsidR="00DB03E8" w:rsidRPr="009F1DA6">
              <w:rPr>
                <w:b/>
                <w:sz w:val="18"/>
                <w:szCs w:val="18"/>
              </w:rPr>
              <w:tab/>
            </w:r>
          </w:p>
        </w:tc>
        <w:tc>
          <w:tcPr>
            <w:tcW w:w="689" w:type="pct"/>
            <w:tcBorders>
              <w:top w:val="nil"/>
              <w:left w:val="nil"/>
              <w:bottom w:val="nil"/>
              <w:right w:val="nil"/>
            </w:tcBorders>
            <w:vAlign w:val="bottom"/>
          </w:tcPr>
          <w:p w:rsidR="00DB03E8" w:rsidRPr="00A86FE8" w:rsidRDefault="00D62D5C" w:rsidP="005A7D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A86FE8">
              <w:rPr>
                <w:sz w:val="18"/>
                <w:szCs w:val="18"/>
              </w:rPr>
              <w:t>(</w:t>
            </w:r>
            <w:r w:rsidR="00A86FE8" w:rsidRPr="00A86FE8">
              <w:rPr>
                <w:sz w:val="18"/>
                <w:szCs w:val="18"/>
              </w:rPr>
              <w:t>9</w:t>
            </w:r>
            <w:r w:rsidRPr="00A86FE8">
              <w:rPr>
                <w:sz w:val="18"/>
                <w:szCs w:val="18"/>
              </w:rPr>
              <w:t>,</w:t>
            </w:r>
            <w:r w:rsidR="00A86FE8" w:rsidRPr="00A86FE8">
              <w:rPr>
                <w:sz w:val="18"/>
                <w:szCs w:val="18"/>
              </w:rPr>
              <w:t>1</w:t>
            </w:r>
            <w:r w:rsidR="005A7D8E">
              <w:rPr>
                <w:sz w:val="18"/>
                <w:szCs w:val="18"/>
              </w:rPr>
              <w:t>7</w:t>
            </w:r>
            <w:r w:rsidR="00E202DC">
              <w:rPr>
                <w:sz w:val="18"/>
                <w:szCs w:val="18"/>
              </w:rPr>
              <w:t>9</w:t>
            </w:r>
            <w:r w:rsidRPr="00A86FE8">
              <w:rPr>
                <w:sz w:val="18"/>
                <w:szCs w:val="18"/>
              </w:rPr>
              <w:t>)</w:t>
            </w:r>
          </w:p>
        </w:tc>
        <w:tc>
          <w:tcPr>
            <w:tcW w:w="717" w:type="pct"/>
            <w:tcBorders>
              <w:top w:val="nil"/>
              <w:left w:val="nil"/>
              <w:bottom w:val="nil"/>
              <w:right w:val="nil"/>
            </w:tcBorders>
            <w:vAlign w:val="bottom"/>
          </w:tcPr>
          <w:p w:rsidR="00DB03E8" w:rsidRPr="0029283C" w:rsidRDefault="00DB03E8" w:rsidP="0029283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29283C">
              <w:rPr>
                <w:sz w:val="18"/>
                <w:szCs w:val="18"/>
              </w:rPr>
              <w:t>(</w:t>
            </w:r>
            <w:r w:rsidR="0029283C" w:rsidRPr="0029283C">
              <w:rPr>
                <w:sz w:val="18"/>
                <w:szCs w:val="18"/>
              </w:rPr>
              <w:t>31</w:t>
            </w:r>
            <w:r w:rsidRPr="0029283C">
              <w:rPr>
                <w:sz w:val="18"/>
                <w:szCs w:val="18"/>
              </w:rPr>
              <w:t>,</w:t>
            </w:r>
            <w:r w:rsidR="0029283C" w:rsidRPr="0029283C">
              <w:rPr>
                <w:sz w:val="18"/>
                <w:szCs w:val="18"/>
              </w:rPr>
              <w:t>966</w:t>
            </w:r>
            <w:r w:rsidRPr="0029283C">
              <w:rPr>
                <w:sz w:val="18"/>
                <w:szCs w:val="18"/>
              </w:rPr>
              <w:t>)</w:t>
            </w:r>
          </w:p>
        </w:tc>
      </w:tr>
      <w:tr w:rsidR="00EC06B3" w:rsidRPr="0053635E" w:rsidTr="004F6412">
        <w:trPr>
          <w:cantSplit/>
          <w:jc w:val="center"/>
        </w:trPr>
        <w:tc>
          <w:tcPr>
            <w:tcW w:w="3594" w:type="pct"/>
            <w:tcBorders>
              <w:top w:val="nil"/>
              <w:left w:val="nil"/>
              <w:bottom w:val="nil"/>
              <w:right w:val="nil"/>
            </w:tcBorders>
          </w:tcPr>
          <w:p w:rsidR="00EC06B3" w:rsidRPr="0053635E" w:rsidRDefault="00EC06B3"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18"/>
                <w:szCs w:val="18"/>
                <w:highlight w:val="yellow"/>
              </w:rPr>
            </w:pPr>
          </w:p>
        </w:tc>
        <w:tc>
          <w:tcPr>
            <w:tcW w:w="689" w:type="pct"/>
            <w:tcBorders>
              <w:top w:val="nil"/>
              <w:left w:val="nil"/>
              <w:bottom w:val="nil"/>
              <w:right w:val="nil"/>
            </w:tcBorders>
            <w:vAlign w:val="bottom"/>
          </w:tcPr>
          <w:p w:rsidR="00EC06B3" w:rsidRPr="0053635E" w:rsidRDefault="00EC06B3"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c>
          <w:tcPr>
            <w:tcW w:w="717" w:type="pct"/>
            <w:tcBorders>
              <w:top w:val="nil"/>
              <w:left w:val="nil"/>
              <w:bottom w:val="nil"/>
              <w:right w:val="nil"/>
            </w:tcBorders>
            <w:vAlign w:val="bottom"/>
          </w:tcPr>
          <w:p w:rsidR="00EC06B3" w:rsidRPr="0053635E" w:rsidRDefault="00EC06B3"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r>
      <w:tr w:rsidR="00DB03E8" w:rsidRPr="0053635E" w:rsidTr="004F6412">
        <w:trPr>
          <w:cantSplit/>
          <w:jc w:val="center"/>
        </w:trPr>
        <w:tc>
          <w:tcPr>
            <w:tcW w:w="3594" w:type="pct"/>
            <w:tcBorders>
              <w:top w:val="nil"/>
              <w:left w:val="nil"/>
              <w:bottom w:val="nil"/>
              <w:right w:val="nil"/>
            </w:tcBorders>
          </w:tcPr>
          <w:p w:rsidR="00DB03E8" w:rsidRPr="008E4B7A"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18"/>
                <w:szCs w:val="18"/>
              </w:rPr>
            </w:pPr>
            <w:r w:rsidRPr="008E4B7A">
              <w:rPr>
                <w:b/>
                <w:bCs/>
                <w:sz w:val="18"/>
                <w:szCs w:val="18"/>
              </w:rPr>
              <w:t>Cash flows from financing activities</w:t>
            </w:r>
          </w:p>
        </w:tc>
        <w:tc>
          <w:tcPr>
            <w:tcW w:w="689" w:type="pct"/>
            <w:tcBorders>
              <w:top w:val="nil"/>
              <w:left w:val="nil"/>
              <w:bottom w:val="nil"/>
              <w:right w:val="nil"/>
            </w:tcBorders>
            <w:vAlign w:val="bottom"/>
          </w:tcPr>
          <w:p w:rsidR="00DB03E8" w:rsidRPr="0053635E"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c>
          <w:tcPr>
            <w:tcW w:w="717" w:type="pct"/>
            <w:tcBorders>
              <w:top w:val="nil"/>
              <w:left w:val="nil"/>
              <w:bottom w:val="nil"/>
              <w:right w:val="nil"/>
            </w:tcBorders>
            <w:vAlign w:val="bottom"/>
          </w:tcPr>
          <w:p w:rsidR="00DB03E8" w:rsidRPr="0053635E"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r>
      <w:tr w:rsidR="00DB03E8" w:rsidRPr="0053635E" w:rsidTr="004F6412">
        <w:trPr>
          <w:cantSplit/>
          <w:jc w:val="center"/>
        </w:trPr>
        <w:tc>
          <w:tcPr>
            <w:tcW w:w="3594" w:type="pct"/>
            <w:tcBorders>
              <w:top w:val="nil"/>
              <w:left w:val="nil"/>
              <w:bottom w:val="nil"/>
              <w:right w:val="nil"/>
            </w:tcBorders>
          </w:tcPr>
          <w:p w:rsidR="00DB03E8" w:rsidRPr="008E4B7A" w:rsidRDefault="00DB03E8" w:rsidP="004F77DB">
            <w:pPr>
              <w:widowControl/>
              <w:suppressAutoHyphens/>
              <w:ind w:left="200" w:hanging="200"/>
              <w:rPr>
                <w:sz w:val="18"/>
                <w:szCs w:val="18"/>
              </w:rPr>
            </w:pPr>
            <w:r w:rsidRPr="008E4B7A">
              <w:rPr>
                <w:sz w:val="18"/>
                <w:szCs w:val="18"/>
              </w:rPr>
              <w:t>Proceeds from long-term debt</w:t>
            </w:r>
            <w:r w:rsidRPr="008E4B7A">
              <w:rPr>
                <w:sz w:val="18"/>
                <w:szCs w:val="18"/>
              </w:rPr>
              <w:tab/>
            </w:r>
          </w:p>
        </w:tc>
        <w:tc>
          <w:tcPr>
            <w:tcW w:w="689" w:type="pct"/>
            <w:tcBorders>
              <w:top w:val="nil"/>
              <w:left w:val="nil"/>
              <w:bottom w:val="nil"/>
              <w:right w:val="nil"/>
            </w:tcBorders>
            <w:vAlign w:val="bottom"/>
          </w:tcPr>
          <w:p w:rsidR="00DB03E8" w:rsidRPr="00EE7C59" w:rsidRDefault="00EE7C59" w:rsidP="00EE7C5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EE7C59">
              <w:rPr>
                <w:sz w:val="18"/>
                <w:szCs w:val="18"/>
              </w:rPr>
              <w:t>22</w:t>
            </w:r>
            <w:r w:rsidR="00DB03E8" w:rsidRPr="00EE7C59">
              <w:rPr>
                <w:sz w:val="18"/>
                <w:szCs w:val="18"/>
              </w:rPr>
              <w:t>,</w:t>
            </w:r>
            <w:r w:rsidR="00D62D5C" w:rsidRPr="00EE7C59">
              <w:rPr>
                <w:sz w:val="18"/>
                <w:szCs w:val="18"/>
              </w:rPr>
              <w:t>000</w:t>
            </w:r>
          </w:p>
        </w:tc>
        <w:tc>
          <w:tcPr>
            <w:tcW w:w="717" w:type="pct"/>
            <w:tcBorders>
              <w:top w:val="nil"/>
              <w:left w:val="nil"/>
              <w:bottom w:val="nil"/>
              <w:right w:val="nil"/>
            </w:tcBorders>
            <w:vAlign w:val="bottom"/>
          </w:tcPr>
          <w:p w:rsidR="00DB03E8" w:rsidRPr="00FD41E2" w:rsidRDefault="00FD41E2" w:rsidP="00FD41E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FD41E2">
              <w:rPr>
                <w:sz w:val="18"/>
                <w:szCs w:val="18"/>
              </w:rPr>
              <w:t>56</w:t>
            </w:r>
            <w:r w:rsidR="000C787D" w:rsidRPr="00FD41E2">
              <w:rPr>
                <w:sz w:val="18"/>
                <w:szCs w:val="18"/>
              </w:rPr>
              <w:t>,</w:t>
            </w:r>
            <w:r w:rsidRPr="00FD41E2">
              <w:rPr>
                <w:sz w:val="18"/>
                <w:szCs w:val="18"/>
              </w:rPr>
              <w:t>000</w:t>
            </w:r>
          </w:p>
        </w:tc>
      </w:tr>
      <w:tr w:rsidR="00C36C2E" w:rsidRPr="0053635E" w:rsidTr="004F6412">
        <w:trPr>
          <w:cantSplit/>
          <w:jc w:val="center"/>
        </w:trPr>
        <w:tc>
          <w:tcPr>
            <w:tcW w:w="3594" w:type="pct"/>
            <w:tcBorders>
              <w:top w:val="nil"/>
              <w:left w:val="nil"/>
              <w:bottom w:val="nil"/>
              <w:right w:val="nil"/>
            </w:tcBorders>
          </w:tcPr>
          <w:p w:rsidR="00C36C2E" w:rsidRPr="008E4B7A" w:rsidRDefault="00C36C2E" w:rsidP="004F77DB">
            <w:pPr>
              <w:widowControl/>
              <w:suppressAutoHyphens/>
              <w:ind w:left="200" w:hanging="200"/>
              <w:rPr>
                <w:sz w:val="18"/>
                <w:szCs w:val="18"/>
              </w:rPr>
            </w:pPr>
            <w:r w:rsidRPr="008E4B7A">
              <w:rPr>
                <w:sz w:val="18"/>
                <w:szCs w:val="18"/>
              </w:rPr>
              <w:t>Repayments of long-term debt</w:t>
            </w:r>
            <w:r w:rsidRPr="008E4B7A">
              <w:rPr>
                <w:sz w:val="18"/>
                <w:szCs w:val="18"/>
              </w:rPr>
              <w:tab/>
            </w:r>
          </w:p>
        </w:tc>
        <w:tc>
          <w:tcPr>
            <w:tcW w:w="689" w:type="pct"/>
            <w:tcBorders>
              <w:top w:val="nil"/>
              <w:left w:val="nil"/>
              <w:bottom w:val="nil"/>
              <w:right w:val="nil"/>
            </w:tcBorders>
            <w:vAlign w:val="bottom"/>
          </w:tcPr>
          <w:p w:rsidR="00C36C2E" w:rsidRPr="00EE7C59" w:rsidRDefault="00C36C2E" w:rsidP="00EE7C5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EE7C59">
              <w:rPr>
                <w:sz w:val="18"/>
                <w:szCs w:val="18"/>
              </w:rPr>
              <w:t>(</w:t>
            </w:r>
            <w:r w:rsidR="00EE7C59" w:rsidRPr="00EE7C59">
              <w:rPr>
                <w:sz w:val="18"/>
                <w:szCs w:val="18"/>
              </w:rPr>
              <w:t>40</w:t>
            </w:r>
            <w:r w:rsidRPr="00EE7C59">
              <w:rPr>
                <w:sz w:val="18"/>
                <w:szCs w:val="18"/>
              </w:rPr>
              <w:t>,</w:t>
            </w:r>
            <w:r w:rsidR="00EE7C59" w:rsidRPr="00EE7C59">
              <w:rPr>
                <w:sz w:val="18"/>
                <w:szCs w:val="18"/>
              </w:rPr>
              <w:t>744</w:t>
            </w:r>
            <w:r w:rsidRPr="00EE7C59">
              <w:rPr>
                <w:sz w:val="18"/>
                <w:szCs w:val="18"/>
              </w:rPr>
              <w:t>)</w:t>
            </w:r>
          </w:p>
        </w:tc>
        <w:tc>
          <w:tcPr>
            <w:tcW w:w="717" w:type="pct"/>
            <w:tcBorders>
              <w:top w:val="nil"/>
              <w:left w:val="nil"/>
              <w:bottom w:val="nil"/>
              <w:right w:val="nil"/>
            </w:tcBorders>
            <w:vAlign w:val="bottom"/>
          </w:tcPr>
          <w:p w:rsidR="00C36C2E" w:rsidRPr="00FD41E2" w:rsidRDefault="00C36C2E" w:rsidP="00FD41E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FD41E2">
              <w:rPr>
                <w:sz w:val="18"/>
                <w:szCs w:val="18"/>
              </w:rPr>
              <w:t>(</w:t>
            </w:r>
            <w:r w:rsidR="00FD41E2" w:rsidRPr="00FD41E2">
              <w:rPr>
                <w:sz w:val="18"/>
                <w:szCs w:val="18"/>
              </w:rPr>
              <w:t>31</w:t>
            </w:r>
            <w:r w:rsidRPr="00FD41E2">
              <w:rPr>
                <w:sz w:val="18"/>
                <w:szCs w:val="18"/>
              </w:rPr>
              <w:t>,</w:t>
            </w:r>
            <w:r w:rsidR="00FD41E2" w:rsidRPr="00FD41E2">
              <w:rPr>
                <w:sz w:val="18"/>
                <w:szCs w:val="18"/>
              </w:rPr>
              <w:t>908</w:t>
            </w:r>
            <w:r w:rsidRPr="00FD41E2">
              <w:rPr>
                <w:sz w:val="18"/>
                <w:szCs w:val="18"/>
              </w:rPr>
              <w:t>)</w:t>
            </w:r>
          </w:p>
        </w:tc>
      </w:tr>
      <w:tr w:rsidR="00C36C2E" w:rsidRPr="0053635E" w:rsidTr="004F6412">
        <w:trPr>
          <w:cantSplit/>
          <w:jc w:val="center"/>
        </w:trPr>
        <w:tc>
          <w:tcPr>
            <w:tcW w:w="3594" w:type="pct"/>
            <w:tcBorders>
              <w:top w:val="nil"/>
              <w:left w:val="nil"/>
              <w:bottom w:val="nil"/>
              <w:right w:val="nil"/>
            </w:tcBorders>
          </w:tcPr>
          <w:p w:rsidR="00C36C2E" w:rsidRPr="008E4B7A" w:rsidRDefault="00C36C2E" w:rsidP="004F77DB">
            <w:pPr>
              <w:widowControl/>
              <w:suppressAutoHyphens/>
              <w:ind w:left="200" w:hanging="200"/>
              <w:rPr>
                <w:sz w:val="18"/>
                <w:szCs w:val="18"/>
              </w:rPr>
            </w:pPr>
            <w:r w:rsidRPr="008E4B7A">
              <w:rPr>
                <w:sz w:val="18"/>
                <w:szCs w:val="18"/>
              </w:rPr>
              <w:t>Cash paid for debt issuance fees</w:t>
            </w:r>
            <w:r w:rsidRPr="008E4B7A">
              <w:rPr>
                <w:sz w:val="18"/>
                <w:szCs w:val="18"/>
              </w:rPr>
              <w:tab/>
            </w:r>
          </w:p>
        </w:tc>
        <w:tc>
          <w:tcPr>
            <w:tcW w:w="689" w:type="pct"/>
            <w:tcBorders>
              <w:top w:val="nil"/>
              <w:left w:val="nil"/>
              <w:bottom w:val="nil"/>
              <w:right w:val="nil"/>
            </w:tcBorders>
            <w:vAlign w:val="bottom"/>
          </w:tcPr>
          <w:p w:rsidR="00C36C2E" w:rsidRPr="00EE7C59" w:rsidRDefault="00E202DC" w:rsidP="00EE7C5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B72FF6">
              <w:rPr>
                <w:sz w:val="18"/>
                <w:szCs w:val="18"/>
              </w:rPr>
              <w:t>—</w:t>
            </w:r>
          </w:p>
        </w:tc>
        <w:tc>
          <w:tcPr>
            <w:tcW w:w="717" w:type="pct"/>
            <w:tcBorders>
              <w:top w:val="nil"/>
              <w:left w:val="nil"/>
              <w:bottom w:val="nil"/>
              <w:right w:val="nil"/>
            </w:tcBorders>
            <w:vAlign w:val="bottom"/>
          </w:tcPr>
          <w:p w:rsidR="00C36C2E" w:rsidRPr="00FD41E2" w:rsidRDefault="00C36C2E" w:rsidP="00FD41E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FD41E2">
              <w:rPr>
                <w:sz w:val="18"/>
                <w:szCs w:val="18"/>
              </w:rPr>
              <w:t>(</w:t>
            </w:r>
            <w:r w:rsidR="00FD41E2" w:rsidRPr="00FD41E2">
              <w:rPr>
                <w:sz w:val="18"/>
                <w:szCs w:val="18"/>
              </w:rPr>
              <w:t>749</w:t>
            </w:r>
            <w:r w:rsidRPr="00FD41E2">
              <w:rPr>
                <w:sz w:val="18"/>
                <w:szCs w:val="18"/>
              </w:rPr>
              <w:t>)</w:t>
            </w:r>
          </w:p>
        </w:tc>
      </w:tr>
      <w:tr w:rsidR="00DB03E8" w:rsidRPr="0053635E" w:rsidTr="004F6412">
        <w:trPr>
          <w:cantSplit/>
          <w:jc w:val="center"/>
        </w:trPr>
        <w:tc>
          <w:tcPr>
            <w:tcW w:w="3594" w:type="pct"/>
            <w:tcBorders>
              <w:top w:val="nil"/>
              <w:left w:val="nil"/>
              <w:bottom w:val="nil"/>
              <w:right w:val="nil"/>
            </w:tcBorders>
          </w:tcPr>
          <w:p w:rsidR="00DB03E8" w:rsidRPr="008E4B7A" w:rsidRDefault="00C96F13" w:rsidP="004F77DB">
            <w:pPr>
              <w:widowControl/>
              <w:suppressAutoHyphens/>
              <w:spacing w:after="20"/>
              <w:ind w:left="200" w:hanging="200"/>
              <w:rPr>
                <w:sz w:val="18"/>
                <w:szCs w:val="18"/>
              </w:rPr>
            </w:pPr>
            <w:r w:rsidRPr="008E4B7A">
              <w:rPr>
                <w:sz w:val="18"/>
                <w:szCs w:val="18"/>
              </w:rPr>
              <w:t xml:space="preserve">Repurchase of </w:t>
            </w:r>
            <w:r w:rsidR="00794E90">
              <w:rPr>
                <w:sz w:val="18"/>
                <w:szCs w:val="18"/>
              </w:rPr>
              <w:t xml:space="preserve">indirect parent </w:t>
            </w:r>
            <w:r w:rsidRPr="008E4B7A">
              <w:rPr>
                <w:sz w:val="18"/>
                <w:szCs w:val="18"/>
              </w:rPr>
              <w:t>shares from employees</w:t>
            </w:r>
            <w:r w:rsidR="00DB03E8" w:rsidRPr="008E4B7A">
              <w:rPr>
                <w:sz w:val="18"/>
                <w:szCs w:val="18"/>
              </w:rPr>
              <w:tab/>
            </w:r>
          </w:p>
        </w:tc>
        <w:tc>
          <w:tcPr>
            <w:tcW w:w="689" w:type="pct"/>
            <w:tcBorders>
              <w:top w:val="nil"/>
              <w:left w:val="nil"/>
              <w:bottom w:val="nil"/>
              <w:right w:val="nil"/>
            </w:tcBorders>
            <w:vAlign w:val="bottom"/>
          </w:tcPr>
          <w:p w:rsidR="00DB03E8" w:rsidRPr="00EE7C59" w:rsidRDefault="00C96F13" w:rsidP="00EE7C59">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8"/>
                <w:szCs w:val="18"/>
              </w:rPr>
            </w:pPr>
            <w:r w:rsidRPr="00EE7C59">
              <w:rPr>
                <w:sz w:val="18"/>
                <w:szCs w:val="18"/>
              </w:rPr>
              <w:t>(</w:t>
            </w:r>
            <w:r w:rsidR="007E3FA8" w:rsidRPr="00EE7C59">
              <w:rPr>
                <w:sz w:val="18"/>
                <w:szCs w:val="18"/>
              </w:rPr>
              <w:t>5</w:t>
            </w:r>
            <w:r w:rsidR="00EE7C59" w:rsidRPr="00EE7C59">
              <w:rPr>
                <w:sz w:val="18"/>
                <w:szCs w:val="18"/>
              </w:rPr>
              <w:t>85</w:t>
            </w:r>
            <w:r w:rsidRPr="00EE7C59">
              <w:rPr>
                <w:sz w:val="18"/>
                <w:szCs w:val="18"/>
              </w:rPr>
              <w:t>)</w:t>
            </w:r>
          </w:p>
        </w:tc>
        <w:tc>
          <w:tcPr>
            <w:tcW w:w="717" w:type="pct"/>
            <w:tcBorders>
              <w:top w:val="nil"/>
              <w:left w:val="nil"/>
              <w:bottom w:val="nil"/>
              <w:right w:val="nil"/>
            </w:tcBorders>
            <w:vAlign w:val="bottom"/>
          </w:tcPr>
          <w:p w:rsidR="00DB03E8" w:rsidRPr="00FD41E2" w:rsidRDefault="009D5EB7" w:rsidP="00FD41E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8"/>
                <w:szCs w:val="18"/>
              </w:rPr>
            </w:pPr>
            <w:r w:rsidRPr="00FD41E2">
              <w:rPr>
                <w:sz w:val="18"/>
                <w:szCs w:val="18"/>
              </w:rPr>
              <w:t>(</w:t>
            </w:r>
            <w:r w:rsidR="00FD41E2" w:rsidRPr="00FD41E2">
              <w:rPr>
                <w:sz w:val="18"/>
                <w:szCs w:val="18"/>
              </w:rPr>
              <w:t>470</w:t>
            </w:r>
            <w:r w:rsidRPr="00FD41E2">
              <w:rPr>
                <w:sz w:val="18"/>
                <w:szCs w:val="18"/>
              </w:rPr>
              <w:t>)</w:t>
            </w:r>
          </w:p>
        </w:tc>
      </w:tr>
      <w:tr w:rsidR="00DB03E8" w:rsidRPr="0053635E" w:rsidTr="004F6412">
        <w:trPr>
          <w:cantSplit/>
          <w:jc w:val="center"/>
        </w:trPr>
        <w:tc>
          <w:tcPr>
            <w:tcW w:w="3594" w:type="pct"/>
            <w:tcBorders>
              <w:top w:val="nil"/>
              <w:left w:val="nil"/>
              <w:bottom w:val="nil"/>
              <w:right w:val="nil"/>
            </w:tcBorders>
          </w:tcPr>
          <w:p w:rsidR="00DB03E8" w:rsidRPr="009F1DA6" w:rsidRDefault="00DB03E8" w:rsidP="00C96F13">
            <w:pPr>
              <w:widowControl/>
              <w:suppressAutoHyphens/>
              <w:ind w:left="200" w:hanging="200"/>
              <w:rPr>
                <w:b/>
                <w:sz w:val="18"/>
                <w:szCs w:val="18"/>
              </w:rPr>
            </w:pPr>
            <w:r w:rsidRPr="009F1DA6">
              <w:rPr>
                <w:b/>
                <w:sz w:val="18"/>
                <w:szCs w:val="18"/>
              </w:rPr>
              <w:t xml:space="preserve">Net cash </w:t>
            </w:r>
            <w:r w:rsidR="00545A48" w:rsidRPr="009F1DA6">
              <w:rPr>
                <w:b/>
                <w:sz w:val="18"/>
                <w:szCs w:val="18"/>
              </w:rPr>
              <w:t xml:space="preserve">(used in) </w:t>
            </w:r>
            <w:r w:rsidR="0083683E" w:rsidRPr="009F1DA6">
              <w:rPr>
                <w:b/>
                <w:sz w:val="18"/>
                <w:szCs w:val="18"/>
              </w:rPr>
              <w:t xml:space="preserve">provided by </w:t>
            </w:r>
            <w:r w:rsidRPr="009F1DA6">
              <w:rPr>
                <w:b/>
                <w:sz w:val="18"/>
                <w:szCs w:val="18"/>
              </w:rPr>
              <w:t>financing activities</w:t>
            </w:r>
            <w:r w:rsidRPr="009F1DA6">
              <w:rPr>
                <w:b/>
                <w:sz w:val="18"/>
                <w:szCs w:val="18"/>
              </w:rPr>
              <w:tab/>
            </w:r>
          </w:p>
        </w:tc>
        <w:tc>
          <w:tcPr>
            <w:tcW w:w="689" w:type="pct"/>
            <w:tcBorders>
              <w:top w:val="nil"/>
              <w:left w:val="nil"/>
              <w:bottom w:val="nil"/>
              <w:right w:val="nil"/>
            </w:tcBorders>
            <w:vAlign w:val="bottom"/>
          </w:tcPr>
          <w:p w:rsidR="00DB03E8" w:rsidRPr="00EE7C59" w:rsidRDefault="00EE7C59" w:rsidP="00E202D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EE7C59">
              <w:rPr>
                <w:sz w:val="18"/>
                <w:szCs w:val="18"/>
              </w:rPr>
              <w:t>(19</w:t>
            </w:r>
            <w:r w:rsidR="00DB03E8" w:rsidRPr="00EE7C59">
              <w:rPr>
                <w:sz w:val="18"/>
                <w:szCs w:val="18"/>
              </w:rPr>
              <w:t>,</w:t>
            </w:r>
            <w:r w:rsidR="00E202DC">
              <w:rPr>
                <w:sz w:val="18"/>
                <w:szCs w:val="18"/>
              </w:rPr>
              <w:t>329</w:t>
            </w:r>
            <w:r w:rsidRPr="00EE7C59">
              <w:rPr>
                <w:sz w:val="18"/>
                <w:szCs w:val="18"/>
              </w:rPr>
              <w:t>)</w:t>
            </w:r>
          </w:p>
        </w:tc>
        <w:tc>
          <w:tcPr>
            <w:tcW w:w="717" w:type="pct"/>
            <w:tcBorders>
              <w:top w:val="nil"/>
              <w:left w:val="nil"/>
              <w:bottom w:val="nil"/>
              <w:right w:val="nil"/>
            </w:tcBorders>
            <w:vAlign w:val="bottom"/>
          </w:tcPr>
          <w:p w:rsidR="00DB03E8" w:rsidRPr="00FD41E2" w:rsidRDefault="00FD41E2" w:rsidP="00FD41E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FD41E2">
              <w:rPr>
                <w:sz w:val="18"/>
                <w:szCs w:val="18"/>
              </w:rPr>
              <w:t>22</w:t>
            </w:r>
            <w:r w:rsidR="00DB03E8" w:rsidRPr="00FD41E2">
              <w:rPr>
                <w:sz w:val="18"/>
                <w:szCs w:val="18"/>
              </w:rPr>
              <w:t>,</w:t>
            </w:r>
            <w:r w:rsidRPr="00FD41E2">
              <w:rPr>
                <w:sz w:val="18"/>
                <w:szCs w:val="18"/>
              </w:rPr>
              <w:t>873</w:t>
            </w:r>
          </w:p>
        </w:tc>
      </w:tr>
      <w:tr w:rsidR="00EC06B3" w:rsidRPr="0053635E" w:rsidTr="004F6412">
        <w:trPr>
          <w:cantSplit/>
          <w:jc w:val="center"/>
        </w:trPr>
        <w:tc>
          <w:tcPr>
            <w:tcW w:w="3594" w:type="pct"/>
            <w:tcBorders>
              <w:top w:val="nil"/>
              <w:left w:val="nil"/>
              <w:bottom w:val="nil"/>
              <w:right w:val="nil"/>
            </w:tcBorders>
          </w:tcPr>
          <w:p w:rsidR="00EC06B3" w:rsidRPr="008E4B7A" w:rsidRDefault="00EC06B3" w:rsidP="00744A72">
            <w:pPr>
              <w:widowControl/>
              <w:tabs>
                <w:tab w:val="right" w:leader="dot" w:pos="6380"/>
              </w:tabs>
              <w:suppressAutoHyphens/>
              <w:ind w:left="200" w:hanging="200"/>
              <w:rPr>
                <w:sz w:val="18"/>
                <w:szCs w:val="18"/>
              </w:rPr>
            </w:pPr>
          </w:p>
        </w:tc>
        <w:tc>
          <w:tcPr>
            <w:tcW w:w="689" w:type="pct"/>
            <w:tcBorders>
              <w:top w:val="nil"/>
              <w:left w:val="nil"/>
              <w:bottom w:val="nil"/>
              <w:right w:val="nil"/>
            </w:tcBorders>
            <w:vAlign w:val="bottom"/>
          </w:tcPr>
          <w:p w:rsidR="00EC06B3" w:rsidRPr="0053635E" w:rsidRDefault="00EC06B3" w:rsidP="009829C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c>
          <w:tcPr>
            <w:tcW w:w="717" w:type="pct"/>
            <w:tcBorders>
              <w:top w:val="nil"/>
              <w:left w:val="nil"/>
              <w:bottom w:val="nil"/>
              <w:right w:val="nil"/>
            </w:tcBorders>
            <w:vAlign w:val="bottom"/>
          </w:tcPr>
          <w:p w:rsidR="00EC06B3" w:rsidRPr="0053635E" w:rsidRDefault="00EC06B3" w:rsidP="009D5EB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r>
      <w:tr w:rsidR="00DB03E8" w:rsidRPr="0053635E" w:rsidTr="004F6412">
        <w:trPr>
          <w:cantSplit/>
          <w:jc w:val="center"/>
        </w:trPr>
        <w:tc>
          <w:tcPr>
            <w:tcW w:w="3594" w:type="pct"/>
            <w:tcBorders>
              <w:top w:val="nil"/>
              <w:left w:val="nil"/>
              <w:bottom w:val="nil"/>
              <w:right w:val="nil"/>
            </w:tcBorders>
          </w:tcPr>
          <w:p w:rsidR="00DB03E8" w:rsidRPr="008E4B7A" w:rsidRDefault="00DB03E8" w:rsidP="004F77DB">
            <w:pPr>
              <w:widowControl/>
              <w:suppressAutoHyphens/>
              <w:spacing w:after="20"/>
              <w:ind w:left="200" w:hanging="200"/>
              <w:rPr>
                <w:sz w:val="18"/>
                <w:szCs w:val="18"/>
              </w:rPr>
            </w:pPr>
            <w:r w:rsidRPr="008E4B7A">
              <w:rPr>
                <w:sz w:val="18"/>
                <w:szCs w:val="18"/>
              </w:rPr>
              <w:t>Effect of changes in exchange rates on cash and cash equivalents</w:t>
            </w:r>
            <w:r w:rsidRPr="008E4B7A">
              <w:rPr>
                <w:sz w:val="18"/>
                <w:szCs w:val="18"/>
              </w:rPr>
              <w:tab/>
            </w:r>
          </w:p>
        </w:tc>
        <w:tc>
          <w:tcPr>
            <w:tcW w:w="689" w:type="pct"/>
            <w:tcBorders>
              <w:top w:val="nil"/>
              <w:left w:val="nil"/>
              <w:bottom w:val="nil"/>
              <w:right w:val="nil"/>
            </w:tcBorders>
            <w:vAlign w:val="bottom"/>
          </w:tcPr>
          <w:p w:rsidR="00DB03E8" w:rsidRPr="00EE7C59" w:rsidRDefault="00D62D5C" w:rsidP="00E202D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8"/>
                <w:szCs w:val="18"/>
              </w:rPr>
            </w:pPr>
            <w:r w:rsidRPr="00EE7C59">
              <w:rPr>
                <w:sz w:val="18"/>
                <w:szCs w:val="18"/>
              </w:rPr>
              <w:t>(</w:t>
            </w:r>
            <w:r w:rsidR="00E202DC">
              <w:rPr>
                <w:sz w:val="18"/>
                <w:szCs w:val="18"/>
              </w:rPr>
              <w:t>171</w:t>
            </w:r>
            <w:r w:rsidRPr="00EE7C59">
              <w:rPr>
                <w:sz w:val="18"/>
                <w:szCs w:val="18"/>
              </w:rPr>
              <w:t>)</w:t>
            </w:r>
          </w:p>
        </w:tc>
        <w:tc>
          <w:tcPr>
            <w:tcW w:w="717" w:type="pct"/>
            <w:tcBorders>
              <w:top w:val="nil"/>
              <w:left w:val="nil"/>
              <w:bottom w:val="nil"/>
              <w:right w:val="nil"/>
            </w:tcBorders>
            <w:vAlign w:val="bottom"/>
          </w:tcPr>
          <w:p w:rsidR="00DB03E8" w:rsidRPr="008E4B7A" w:rsidRDefault="00FD41E2" w:rsidP="00FD41E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8"/>
                <w:szCs w:val="18"/>
              </w:rPr>
            </w:pPr>
            <w:r w:rsidRPr="008E4B7A">
              <w:rPr>
                <w:sz w:val="18"/>
                <w:szCs w:val="18"/>
              </w:rPr>
              <w:t>(131)</w:t>
            </w:r>
          </w:p>
        </w:tc>
      </w:tr>
      <w:tr w:rsidR="00DB03E8" w:rsidRPr="0053635E" w:rsidTr="004F6412">
        <w:trPr>
          <w:cantSplit/>
          <w:jc w:val="center"/>
        </w:trPr>
        <w:tc>
          <w:tcPr>
            <w:tcW w:w="3594" w:type="pct"/>
            <w:tcBorders>
              <w:top w:val="nil"/>
              <w:left w:val="nil"/>
              <w:bottom w:val="nil"/>
              <w:right w:val="nil"/>
            </w:tcBorders>
          </w:tcPr>
          <w:p w:rsidR="00DB03E8" w:rsidRPr="008E4B7A" w:rsidRDefault="00DB03E8" w:rsidP="004F77DB">
            <w:pPr>
              <w:widowControl/>
              <w:suppressAutoHyphens/>
              <w:ind w:left="200" w:hanging="200"/>
              <w:rPr>
                <w:sz w:val="18"/>
                <w:szCs w:val="18"/>
              </w:rPr>
            </w:pPr>
            <w:r w:rsidRPr="00EE7C59">
              <w:rPr>
                <w:sz w:val="18"/>
                <w:szCs w:val="18"/>
              </w:rPr>
              <w:t>Net decrease in cash and cash equivalents</w:t>
            </w:r>
            <w:r w:rsidRPr="008E4B7A">
              <w:rPr>
                <w:sz w:val="18"/>
                <w:szCs w:val="18"/>
              </w:rPr>
              <w:tab/>
            </w:r>
          </w:p>
        </w:tc>
        <w:tc>
          <w:tcPr>
            <w:tcW w:w="689" w:type="pct"/>
            <w:tcBorders>
              <w:top w:val="nil"/>
              <w:left w:val="nil"/>
              <w:bottom w:val="nil"/>
              <w:right w:val="nil"/>
            </w:tcBorders>
            <w:vAlign w:val="bottom"/>
          </w:tcPr>
          <w:p w:rsidR="00DB03E8" w:rsidRPr="00EE7C59" w:rsidRDefault="00DB03E8" w:rsidP="00EE7C5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EE7C59">
              <w:rPr>
                <w:sz w:val="18"/>
                <w:szCs w:val="18"/>
              </w:rPr>
              <w:t>(</w:t>
            </w:r>
            <w:r w:rsidR="00EE7C59" w:rsidRPr="00EE7C59">
              <w:rPr>
                <w:sz w:val="18"/>
                <w:szCs w:val="18"/>
              </w:rPr>
              <w:t>5</w:t>
            </w:r>
            <w:r w:rsidRPr="00EE7C59">
              <w:rPr>
                <w:sz w:val="18"/>
                <w:szCs w:val="18"/>
              </w:rPr>
              <w:t>,</w:t>
            </w:r>
            <w:r w:rsidR="00EE7C59" w:rsidRPr="00EE7C59">
              <w:rPr>
                <w:sz w:val="18"/>
                <w:szCs w:val="18"/>
              </w:rPr>
              <w:t>728</w:t>
            </w:r>
            <w:r w:rsidRPr="00EE7C59">
              <w:rPr>
                <w:sz w:val="18"/>
                <w:szCs w:val="18"/>
              </w:rPr>
              <w:t>)</w:t>
            </w:r>
          </w:p>
        </w:tc>
        <w:tc>
          <w:tcPr>
            <w:tcW w:w="717" w:type="pct"/>
            <w:tcBorders>
              <w:top w:val="nil"/>
              <w:left w:val="nil"/>
              <w:bottom w:val="nil"/>
              <w:right w:val="nil"/>
            </w:tcBorders>
            <w:vAlign w:val="bottom"/>
          </w:tcPr>
          <w:p w:rsidR="00DB03E8" w:rsidRPr="008E4B7A" w:rsidRDefault="00DB03E8" w:rsidP="00FD41E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r w:rsidRPr="008E4B7A">
              <w:rPr>
                <w:sz w:val="18"/>
                <w:szCs w:val="18"/>
              </w:rPr>
              <w:t>(</w:t>
            </w:r>
            <w:r w:rsidR="00FD41E2" w:rsidRPr="008E4B7A">
              <w:rPr>
                <w:sz w:val="18"/>
                <w:szCs w:val="18"/>
              </w:rPr>
              <w:t>4</w:t>
            </w:r>
            <w:r w:rsidRPr="008E4B7A">
              <w:rPr>
                <w:sz w:val="18"/>
                <w:szCs w:val="18"/>
              </w:rPr>
              <w:t>,</w:t>
            </w:r>
            <w:r w:rsidR="00FD41E2" w:rsidRPr="008E4B7A">
              <w:rPr>
                <w:sz w:val="18"/>
                <w:szCs w:val="18"/>
              </w:rPr>
              <w:t>809</w:t>
            </w:r>
            <w:r w:rsidRPr="008E4B7A">
              <w:rPr>
                <w:sz w:val="18"/>
                <w:szCs w:val="18"/>
              </w:rPr>
              <w:t>)</w:t>
            </w:r>
          </w:p>
        </w:tc>
      </w:tr>
      <w:tr w:rsidR="00DB03E8" w:rsidRPr="0053635E" w:rsidTr="004F6412">
        <w:trPr>
          <w:cantSplit/>
          <w:trHeight w:val="288"/>
          <w:jc w:val="center"/>
        </w:trPr>
        <w:tc>
          <w:tcPr>
            <w:tcW w:w="3594" w:type="pct"/>
            <w:tcBorders>
              <w:top w:val="nil"/>
              <w:left w:val="nil"/>
              <w:bottom w:val="nil"/>
              <w:right w:val="nil"/>
            </w:tcBorders>
          </w:tcPr>
          <w:p w:rsidR="00DB03E8" w:rsidRPr="008E4B7A" w:rsidRDefault="00DB03E8" w:rsidP="004F77DB">
            <w:pPr>
              <w:widowControl/>
              <w:suppressAutoHyphens/>
              <w:spacing w:after="20"/>
              <w:ind w:left="200" w:hanging="200"/>
              <w:rPr>
                <w:sz w:val="18"/>
                <w:szCs w:val="18"/>
              </w:rPr>
            </w:pPr>
            <w:r w:rsidRPr="008E4B7A">
              <w:rPr>
                <w:sz w:val="18"/>
                <w:szCs w:val="18"/>
              </w:rPr>
              <w:t>Cash and cash equivalents, beginning of year</w:t>
            </w:r>
            <w:r w:rsidRPr="008E4B7A">
              <w:rPr>
                <w:sz w:val="18"/>
                <w:szCs w:val="18"/>
              </w:rPr>
              <w:tab/>
            </w:r>
          </w:p>
        </w:tc>
        <w:tc>
          <w:tcPr>
            <w:tcW w:w="689" w:type="pct"/>
            <w:tcBorders>
              <w:top w:val="nil"/>
              <w:left w:val="nil"/>
              <w:bottom w:val="nil"/>
              <w:right w:val="nil"/>
            </w:tcBorders>
            <w:vAlign w:val="bottom"/>
          </w:tcPr>
          <w:p w:rsidR="00DB03E8" w:rsidRPr="00EE7C59" w:rsidRDefault="00EE7C59" w:rsidP="00EE7C59">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8"/>
                <w:szCs w:val="18"/>
              </w:rPr>
            </w:pPr>
            <w:r w:rsidRPr="00EE7C59">
              <w:rPr>
                <w:sz w:val="18"/>
                <w:szCs w:val="18"/>
              </w:rPr>
              <w:t>11</w:t>
            </w:r>
            <w:r w:rsidR="00DB03E8" w:rsidRPr="00EE7C59">
              <w:rPr>
                <w:sz w:val="18"/>
                <w:szCs w:val="18"/>
              </w:rPr>
              <w:t>,</w:t>
            </w:r>
            <w:r w:rsidRPr="00EE7C59">
              <w:rPr>
                <w:sz w:val="18"/>
                <w:szCs w:val="18"/>
              </w:rPr>
              <w:t>843</w:t>
            </w:r>
          </w:p>
        </w:tc>
        <w:tc>
          <w:tcPr>
            <w:tcW w:w="717" w:type="pct"/>
            <w:tcBorders>
              <w:top w:val="nil"/>
              <w:left w:val="nil"/>
              <w:bottom w:val="nil"/>
              <w:right w:val="nil"/>
            </w:tcBorders>
            <w:vAlign w:val="bottom"/>
          </w:tcPr>
          <w:p w:rsidR="00DB03E8" w:rsidRPr="008E4B7A" w:rsidRDefault="00711E21" w:rsidP="00FD41E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8"/>
                <w:szCs w:val="18"/>
              </w:rPr>
            </w:pPr>
            <w:r w:rsidRPr="008E4B7A">
              <w:rPr>
                <w:sz w:val="18"/>
                <w:szCs w:val="18"/>
              </w:rPr>
              <w:t>2</w:t>
            </w:r>
            <w:r w:rsidR="00FD41E2" w:rsidRPr="008E4B7A">
              <w:rPr>
                <w:sz w:val="18"/>
                <w:szCs w:val="18"/>
              </w:rPr>
              <w:t>6</w:t>
            </w:r>
            <w:r w:rsidR="00DB03E8" w:rsidRPr="008E4B7A">
              <w:rPr>
                <w:sz w:val="18"/>
                <w:szCs w:val="18"/>
              </w:rPr>
              <w:t>,</w:t>
            </w:r>
            <w:r w:rsidR="00FD41E2" w:rsidRPr="008E4B7A">
              <w:rPr>
                <w:sz w:val="18"/>
                <w:szCs w:val="18"/>
              </w:rPr>
              <w:t>556</w:t>
            </w:r>
          </w:p>
        </w:tc>
      </w:tr>
      <w:tr w:rsidR="00F81330" w:rsidRPr="0053635E" w:rsidTr="004F6412">
        <w:trPr>
          <w:cantSplit/>
          <w:jc w:val="center"/>
        </w:trPr>
        <w:tc>
          <w:tcPr>
            <w:tcW w:w="3594" w:type="pct"/>
            <w:tcBorders>
              <w:top w:val="nil"/>
              <w:left w:val="nil"/>
              <w:bottom w:val="nil"/>
              <w:right w:val="nil"/>
            </w:tcBorders>
          </w:tcPr>
          <w:p w:rsidR="00F81330" w:rsidRPr="009F1DA6" w:rsidRDefault="00F81330" w:rsidP="004F77DB">
            <w:pPr>
              <w:widowControl/>
              <w:suppressAutoHyphens/>
              <w:spacing w:after="40"/>
              <w:ind w:left="200" w:hanging="200"/>
              <w:rPr>
                <w:b/>
                <w:sz w:val="18"/>
                <w:szCs w:val="18"/>
              </w:rPr>
            </w:pPr>
            <w:r w:rsidRPr="009F1DA6">
              <w:rPr>
                <w:b/>
                <w:sz w:val="18"/>
                <w:szCs w:val="18"/>
              </w:rPr>
              <w:t>Cash and cash equivalents, end of period</w:t>
            </w:r>
            <w:r w:rsidRPr="009F1DA6">
              <w:rPr>
                <w:b/>
                <w:sz w:val="18"/>
                <w:szCs w:val="18"/>
              </w:rPr>
              <w:tab/>
            </w:r>
          </w:p>
        </w:tc>
        <w:tc>
          <w:tcPr>
            <w:tcW w:w="689" w:type="pct"/>
            <w:tcBorders>
              <w:top w:val="nil"/>
              <w:left w:val="nil"/>
              <w:bottom w:val="nil"/>
              <w:right w:val="nil"/>
            </w:tcBorders>
            <w:vAlign w:val="bottom"/>
          </w:tcPr>
          <w:p w:rsidR="00F81330" w:rsidRPr="00F81330" w:rsidRDefault="00F81330" w:rsidP="00F8133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8"/>
                <w:szCs w:val="18"/>
              </w:rPr>
            </w:pPr>
            <w:r w:rsidRPr="00F81330">
              <w:rPr>
                <w:sz w:val="18"/>
                <w:szCs w:val="18"/>
              </w:rPr>
              <w:t xml:space="preserve">$         </w:t>
            </w:r>
            <w:r>
              <w:rPr>
                <w:sz w:val="18"/>
                <w:szCs w:val="18"/>
              </w:rPr>
              <w:t xml:space="preserve">    6</w:t>
            </w:r>
            <w:r w:rsidRPr="00F81330">
              <w:rPr>
                <w:sz w:val="18"/>
                <w:szCs w:val="18"/>
              </w:rPr>
              <w:t>,</w:t>
            </w:r>
            <w:r>
              <w:rPr>
                <w:sz w:val="18"/>
                <w:szCs w:val="18"/>
              </w:rPr>
              <w:t>115</w:t>
            </w:r>
          </w:p>
        </w:tc>
        <w:tc>
          <w:tcPr>
            <w:tcW w:w="717" w:type="pct"/>
            <w:tcBorders>
              <w:top w:val="nil"/>
              <w:left w:val="nil"/>
              <w:bottom w:val="nil"/>
              <w:right w:val="nil"/>
            </w:tcBorders>
            <w:vAlign w:val="bottom"/>
          </w:tcPr>
          <w:p w:rsidR="00F81330" w:rsidRPr="00F81330" w:rsidRDefault="00F81330" w:rsidP="00F8133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8"/>
                <w:szCs w:val="18"/>
              </w:rPr>
            </w:pPr>
            <w:r w:rsidRPr="00F81330">
              <w:rPr>
                <w:sz w:val="18"/>
                <w:szCs w:val="18"/>
              </w:rPr>
              <w:t xml:space="preserve">$   </w:t>
            </w:r>
            <w:r>
              <w:rPr>
                <w:sz w:val="18"/>
                <w:szCs w:val="18"/>
              </w:rPr>
              <w:t xml:space="preserve">   </w:t>
            </w:r>
            <w:r w:rsidRPr="00F81330">
              <w:rPr>
                <w:sz w:val="18"/>
                <w:szCs w:val="18"/>
              </w:rPr>
              <w:t xml:space="preserve">      </w:t>
            </w:r>
            <w:r>
              <w:rPr>
                <w:sz w:val="18"/>
                <w:szCs w:val="18"/>
              </w:rPr>
              <w:t>21</w:t>
            </w:r>
            <w:r w:rsidRPr="00F81330">
              <w:rPr>
                <w:sz w:val="18"/>
                <w:szCs w:val="18"/>
              </w:rPr>
              <w:t>,</w:t>
            </w:r>
            <w:r>
              <w:rPr>
                <w:sz w:val="18"/>
                <w:szCs w:val="18"/>
              </w:rPr>
              <w:t>747</w:t>
            </w:r>
          </w:p>
        </w:tc>
      </w:tr>
      <w:tr w:rsidR="00DB03E8" w:rsidRPr="0053635E" w:rsidTr="00F81330">
        <w:trPr>
          <w:cantSplit/>
          <w:jc w:val="center"/>
        </w:trPr>
        <w:tc>
          <w:tcPr>
            <w:tcW w:w="3594" w:type="pct"/>
            <w:tcBorders>
              <w:top w:val="nil"/>
              <w:left w:val="nil"/>
              <w:bottom w:val="nil"/>
              <w:right w:val="nil"/>
            </w:tcBorders>
          </w:tcPr>
          <w:p w:rsidR="00DB03E8" w:rsidRPr="008E4B7A"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18"/>
                <w:szCs w:val="18"/>
              </w:rPr>
            </w:pPr>
            <w:r w:rsidRPr="008E4B7A">
              <w:rPr>
                <w:b/>
                <w:bCs/>
                <w:sz w:val="18"/>
                <w:szCs w:val="18"/>
              </w:rPr>
              <w:t>Supplemental disclosures of cash flow information</w:t>
            </w:r>
          </w:p>
        </w:tc>
        <w:tc>
          <w:tcPr>
            <w:tcW w:w="689" w:type="pct"/>
            <w:tcBorders>
              <w:top w:val="nil"/>
              <w:left w:val="nil"/>
              <w:right w:val="nil"/>
            </w:tcBorders>
            <w:vAlign w:val="bottom"/>
          </w:tcPr>
          <w:p w:rsidR="00DB03E8" w:rsidRPr="007661BF"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rPr>
            </w:pPr>
          </w:p>
        </w:tc>
        <w:tc>
          <w:tcPr>
            <w:tcW w:w="717" w:type="pct"/>
            <w:tcBorders>
              <w:top w:val="nil"/>
              <w:left w:val="nil"/>
              <w:right w:val="nil"/>
            </w:tcBorders>
            <w:vAlign w:val="bottom"/>
          </w:tcPr>
          <w:p w:rsidR="00DB03E8" w:rsidRPr="0053635E" w:rsidRDefault="00DB03E8"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r>
      <w:tr w:rsidR="00F81330" w:rsidRPr="0053635E" w:rsidTr="00F81330">
        <w:trPr>
          <w:cantSplit/>
          <w:jc w:val="center"/>
        </w:trPr>
        <w:tc>
          <w:tcPr>
            <w:tcW w:w="3594" w:type="pct"/>
            <w:tcBorders>
              <w:top w:val="nil"/>
              <w:left w:val="nil"/>
              <w:bottom w:val="nil"/>
              <w:right w:val="nil"/>
            </w:tcBorders>
          </w:tcPr>
          <w:p w:rsidR="00F81330" w:rsidRPr="008E4B7A" w:rsidRDefault="00F81330" w:rsidP="004F77DB">
            <w:pPr>
              <w:widowControl/>
              <w:suppressAutoHyphens/>
              <w:ind w:left="200" w:hanging="200"/>
              <w:rPr>
                <w:sz w:val="18"/>
                <w:szCs w:val="18"/>
              </w:rPr>
            </w:pPr>
            <w:r w:rsidRPr="008E4B7A">
              <w:rPr>
                <w:sz w:val="18"/>
                <w:szCs w:val="18"/>
              </w:rPr>
              <w:t>Cash paid for interest</w:t>
            </w:r>
            <w:r w:rsidRPr="008E4B7A">
              <w:rPr>
                <w:sz w:val="18"/>
                <w:szCs w:val="18"/>
              </w:rPr>
              <w:tab/>
            </w:r>
          </w:p>
        </w:tc>
        <w:tc>
          <w:tcPr>
            <w:tcW w:w="689" w:type="pct"/>
            <w:tcBorders>
              <w:top w:val="nil"/>
              <w:left w:val="nil"/>
              <w:right w:val="nil"/>
            </w:tcBorders>
            <w:vAlign w:val="bottom"/>
          </w:tcPr>
          <w:p w:rsidR="00F81330" w:rsidRPr="00F81330" w:rsidRDefault="00F81330" w:rsidP="00F8133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8"/>
                <w:szCs w:val="18"/>
              </w:rPr>
            </w:pPr>
            <w:r w:rsidRPr="00F81330">
              <w:rPr>
                <w:sz w:val="18"/>
                <w:szCs w:val="18"/>
              </w:rPr>
              <w:t xml:space="preserve">$        </w:t>
            </w:r>
            <w:r>
              <w:rPr>
                <w:sz w:val="18"/>
                <w:szCs w:val="18"/>
              </w:rPr>
              <w:t xml:space="preserve">   24</w:t>
            </w:r>
            <w:r w:rsidRPr="00F81330">
              <w:rPr>
                <w:sz w:val="18"/>
                <w:szCs w:val="18"/>
              </w:rPr>
              <w:t>,</w:t>
            </w:r>
            <w:r>
              <w:rPr>
                <w:sz w:val="18"/>
                <w:szCs w:val="18"/>
              </w:rPr>
              <w:t>075</w:t>
            </w:r>
          </w:p>
        </w:tc>
        <w:tc>
          <w:tcPr>
            <w:tcW w:w="717" w:type="pct"/>
            <w:tcBorders>
              <w:top w:val="nil"/>
              <w:left w:val="nil"/>
              <w:right w:val="nil"/>
            </w:tcBorders>
            <w:vAlign w:val="bottom"/>
          </w:tcPr>
          <w:p w:rsidR="00F81330" w:rsidRPr="00F81330" w:rsidRDefault="00F81330" w:rsidP="00F8133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8"/>
                <w:szCs w:val="18"/>
              </w:rPr>
            </w:pPr>
            <w:r w:rsidRPr="00F81330">
              <w:rPr>
                <w:sz w:val="18"/>
                <w:szCs w:val="18"/>
              </w:rPr>
              <w:t xml:space="preserve">$   </w:t>
            </w:r>
            <w:r>
              <w:rPr>
                <w:sz w:val="18"/>
                <w:szCs w:val="18"/>
              </w:rPr>
              <w:t xml:space="preserve">   </w:t>
            </w:r>
            <w:r w:rsidRPr="00F81330">
              <w:rPr>
                <w:sz w:val="18"/>
                <w:szCs w:val="18"/>
              </w:rPr>
              <w:t xml:space="preserve">      </w:t>
            </w:r>
            <w:r>
              <w:rPr>
                <w:sz w:val="18"/>
                <w:szCs w:val="18"/>
              </w:rPr>
              <w:t>24</w:t>
            </w:r>
            <w:r w:rsidRPr="00F81330">
              <w:rPr>
                <w:sz w:val="18"/>
                <w:szCs w:val="18"/>
              </w:rPr>
              <w:t>,</w:t>
            </w:r>
            <w:r>
              <w:rPr>
                <w:sz w:val="18"/>
                <w:szCs w:val="18"/>
              </w:rPr>
              <w:t>778</w:t>
            </w:r>
          </w:p>
        </w:tc>
      </w:tr>
      <w:tr w:rsidR="00F81330" w:rsidRPr="0053635E" w:rsidTr="00F81330">
        <w:trPr>
          <w:cantSplit/>
          <w:jc w:val="center"/>
        </w:trPr>
        <w:tc>
          <w:tcPr>
            <w:tcW w:w="3594" w:type="pct"/>
            <w:tcBorders>
              <w:top w:val="nil"/>
              <w:left w:val="nil"/>
              <w:bottom w:val="nil"/>
              <w:right w:val="nil"/>
            </w:tcBorders>
          </w:tcPr>
          <w:p w:rsidR="00F81330" w:rsidRPr="008E4B7A" w:rsidRDefault="00F81330" w:rsidP="00EE7C59">
            <w:pPr>
              <w:widowControl/>
              <w:suppressAutoHyphens/>
              <w:ind w:left="200" w:hanging="200"/>
              <w:rPr>
                <w:sz w:val="18"/>
                <w:szCs w:val="18"/>
              </w:rPr>
            </w:pPr>
            <w:r w:rsidRPr="00EE7C59">
              <w:rPr>
                <w:sz w:val="18"/>
                <w:szCs w:val="18"/>
              </w:rPr>
              <w:t>Cash paid for taxes, net</w:t>
            </w:r>
            <w:r w:rsidRPr="008E4B7A">
              <w:rPr>
                <w:sz w:val="18"/>
                <w:szCs w:val="18"/>
              </w:rPr>
              <w:tab/>
            </w:r>
          </w:p>
        </w:tc>
        <w:tc>
          <w:tcPr>
            <w:tcW w:w="689" w:type="pct"/>
            <w:tcBorders>
              <w:left w:val="nil"/>
              <w:right w:val="nil"/>
            </w:tcBorders>
            <w:vAlign w:val="bottom"/>
          </w:tcPr>
          <w:p w:rsidR="00F81330" w:rsidRPr="00F81330" w:rsidRDefault="00F81330" w:rsidP="00F8133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8"/>
                <w:szCs w:val="18"/>
              </w:rPr>
            </w:pPr>
            <w:r w:rsidRPr="00F81330">
              <w:rPr>
                <w:sz w:val="18"/>
                <w:szCs w:val="18"/>
              </w:rPr>
              <w:t xml:space="preserve">$    </w:t>
            </w:r>
            <w:r>
              <w:rPr>
                <w:sz w:val="18"/>
                <w:szCs w:val="18"/>
              </w:rPr>
              <w:t xml:space="preserve">   </w:t>
            </w:r>
            <w:r w:rsidRPr="00F81330">
              <w:rPr>
                <w:sz w:val="18"/>
                <w:szCs w:val="18"/>
              </w:rPr>
              <w:t xml:space="preserve">     </w:t>
            </w:r>
            <w:r>
              <w:rPr>
                <w:sz w:val="18"/>
                <w:szCs w:val="18"/>
              </w:rPr>
              <w:t xml:space="preserve">    814</w:t>
            </w:r>
          </w:p>
        </w:tc>
        <w:tc>
          <w:tcPr>
            <w:tcW w:w="717" w:type="pct"/>
            <w:tcBorders>
              <w:left w:val="nil"/>
              <w:right w:val="nil"/>
            </w:tcBorders>
            <w:vAlign w:val="bottom"/>
          </w:tcPr>
          <w:p w:rsidR="00F81330" w:rsidRPr="00F81330" w:rsidRDefault="00F81330" w:rsidP="00F8133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8"/>
                <w:szCs w:val="18"/>
              </w:rPr>
            </w:pPr>
            <w:r w:rsidRPr="00F81330">
              <w:rPr>
                <w:sz w:val="18"/>
                <w:szCs w:val="18"/>
              </w:rPr>
              <w:t xml:space="preserve">$  </w:t>
            </w:r>
            <w:r>
              <w:rPr>
                <w:sz w:val="18"/>
                <w:szCs w:val="18"/>
              </w:rPr>
              <w:t xml:space="preserve">         </w:t>
            </w:r>
            <w:r w:rsidRPr="00F81330">
              <w:rPr>
                <w:sz w:val="18"/>
                <w:szCs w:val="18"/>
              </w:rPr>
              <w:t xml:space="preserve">      </w:t>
            </w:r>
            <w:r>
              <w:rPr>
                <w:sz w:val="18"/>
                <w:szCs w:val="18"/>
              </w:rPr>
              <w:t>255</w:t>
            </w:r>
          </w:p>
        </w:tc>
      </w:tr>
      <w:tr w:rsidR="00C36C2E" w:rsidRPr="0053635E" w:rsidTr="00F81330">
        <w:trPr>
          <w:cantSplit/>
          <w:jc w:val="center"/>
        </w:trPr>
        <w:tc>
          <w:tcPr>
            <w:tcW w:w="3594" w:type="pct"/>
            <w:tcBorders>
              <w:top w:val="nil"/>
              <w:left w:val="nil"/>
              <w:bottom w:val="nil"/>
              <w:right w:val="nil"/>
            </w:tcBorders>
          </w:tcPr>
          <w:p w:rsidR="00C36C2E" w:rsidRPr="0053635E" w:rsidRDefault="00C36C2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sz w:val="18"/>
                <w:szCs w:val="18"/>
                <w:highlight w:val="yellow"/>
              </w:rPr>
            </w:pPr>
          </w:p>
        </w:tc>
        <w:tc>
          <w:tcPr>
            <w:tcW w:w="689" w:type="pct"/>
            <w:tcBorders>
              <w:left w:val="nil"/>
              <w:bottom w:val="nil"/>
              <w:right w:val="nil"/>
            </w:tcBorders>
            <w:vAlign w:val="bottom"/>
          </w:tcPr>
          <w:p w:rsidR="00C36C2E" w:rsidRPr="0053635E" w:rsidRDefault="00C36C2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c>
          <w:tcPr>
            <w:tcW w:w="717" w:type="pct"/>
            <w:tcBorders>
              <w:left w:val="nil"/>
              <w:bottom w:val="nil"/>
              <w:right w:val="nil"/>
            </w:tcBorders>
            <w:vAlign w:val="bottom"/>
          </w:tcPr>
          <w:p w:rsidR="00C36C2E" w:rsidRPr="0053635E" w:rsidRDefault="00C36C2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r>
      <w:tr w:rsidR="003135F6" w:rsidRPr="0053635E" w:rsidTr="004F6412">
        <w:trPr>
          <w:cantSplit/>
          <w:jc w:val="center"/>
        </w:trPr>
        <w:tc>
          <w:tcPr>
            <w:tcW w:w="3594" w:type="pct"/>
            <w:tcBorders>
              <w:top w:val="nil"/>
              <w:left w:val="nil"/>
              <w:bottom w:val="nil"/>
              <w:right w:val="nil"/>
            </w:tcBorders>
          </w:tcPr>
          <w:p w:rsidR="003135F6" w:rsidRPr="0053635E" w:rsidRDefault="00D238D5" w:rsidP="005D637A">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jc w:val="center"/>
              <w:rPr>
                <w:bCs/>
                <w:sz w:val="18"/>
                <w:szCs w:val="18"/>
                <w:highlight w:val="yellow"/>
              </w:rPr>
            </w:pPr>
            <w:r w:rsidRPr="008E4B7A">
              <w:rPr>
                <w:b/>
                <w:bCs/>
                <w:sz w:val="18"/>
                <w:szCs w:val="18"/>
              </w:rPr>
              <w:t xml:space="preserve">                                  </w:t>
            </w:r>
            <w:r w:rsidR="004F77DB" w:rsidRPr="008E4B7A">
              <w:rPr>
                <w:bCs/>
                <w:sz w:val="18"/>
                <w:szCs w:val="18"/>
              </w:rPr>
              <w:t xml:space="preserve">See accompanying </w:t>
            </w:r>
            <w:r w:rsidR="00502A5A" w:rsidRPr="008E4B7A">
              <w:rPr>
                <w:bCs/>
                <w:sz w:val="18"/>
                <w:szCs w:val="18"/>
              </w:rPr>
              <w:t>n</w:t>
            </w:r>
            <w:r w:rsidR="004F77DB" w:rsidRPr="008E4B7A">
              <w:rPr>
                <w:bCs/>
                <w:sz w:val="18"/>
                <w:szCs w:val="18"/>
              </w:rPr>
              <w:t>otes</w:t>
            </w:r>
          </w:p>
        </w:tc>
        <w:tc>
          <w:tcPr>
            <w:tcW w:w="689" w:type="pct"/>
            <w:tcBorders>
              <w:top w:val="nil"/>
              <w:left w:val="nil"/>
              <w:bottom w:val="nil"/>
              <w:right w:val="nil"/>
            </w:tcBorders>
            <w:vAlign w:val="bottom"/>
          </w:tcPr>
          <w:p w:rsidR="003135F6" w:rsidRPr="0053635E" w:rsidRDefault="003135F6"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c>
          <w:tcPr>
            <w:tcW w:w="717" w:type="pct"/>
            <w:tcBorders>
              <w:top w:val="nil"/>
              <w:left w:val="nil"/>
              <w:bottom w:val="nil"/>
              <w:right w:val="nil"/>
            </w:tcBorders>
            <w:vAlign w:val="bottom"/>
          </w:tcPr>
          <w:p w:rsidR="003135F6" w:rsidRPr="0053635E" w:rsidRDefault="003135F6"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8"/>
                <w:szCs w:val="18"/>
                <w:highlight w:val="yellow"/>
              </w:rPr>
            </w:pPr>
          </w:p>
        </w:tc>
      </w:tr>
    </w:tbl>
    <w:p w:rsidR="00657C20" w:rsidRPr="0053635E" w:rsidRDefault="00657C20" w:rsidP="00E75674">
      <w:pPr>
        <w:widowControl/>
        <w:tabs>
          <w:tab w:val="center" w:pos="5400"/>
        </w:tabs>
        <w:suppressAutoHyphens/>
        <w:spacing w:after="240"/>
        <w:rPr>
          <w:highlight w:val="yellow"/>
        </w:rPr>
        <w:sectPr w:rsidR="00657C20" w:rsidRPr="0053635E" w:rsidSect="009B32C4">
          <w:headerReference w:type="even" r:id="rId9"/>
          <w:headerReference w:type="default" r:id="rId10"/>
          <w:footerReference w:type="even" r:id="rId11"/>
          <w:footerReference w:type="default" r:id="rId12"/>
          <w:headerReference w:type="first" r:id="rId13"/>
          <w:pgSz w:w="12240" w:h="15840"/>
          <w:pgMar w:top="1080" w:right="1080" w:bottom="1080" w:left="1080" w:header="720" w:footer="720" w:gutter="0"/>
          <w:pgNumType w:start="1"/>
          <w:cols w:space="720"/>
          <w:titlePg/>
          <w:docGrid w:linePitch="299"/>
        </w:sectPr>
      </w:pPr>
    </w:p>
    <w:p w:rsidR="00E75674" w:rsidRPr="00564BFF" w:rsidRDefault="00CA14BE" w:rsidP="00564BFF">
      <w:pPr>
        <w:keepNext/>
        <w:keepLines/>
        <w:widowControl/>
        <w:numPr>
          <w:ilvl w:val="0"/>
          <w:numId w:val="41"/>
        </w:numPr>
        <w:tabs>
          <w:tab w:val="left" w:pos="-720"/>
          <w:tab w:val="left" w:pos="360"/>
          <w:tab w:val="left" w:pos="1440"/>
        </w:tabs>
        <w:suppressAutoHyphens/>
        <w:spacing w:after="240"/>
        <w:ind w:hanging="720"/>
        <w:rPr>
          <w:b/>
          <w:bCs/>
          <w:sz w:val="22"/>
        </w:rPr>
      </w:pPr>
      <w:r w:rsidRPr="00564BFF">
        <w:rPr>
          <w:b/>
          <w:bCs/>
          <w:sz w:val="22"/>
        </w:rPr>
        <w:lastRenderedPageBreak/>
        <w:t>Description of the Business and Basis of Presentation</w:t>
      </w:r>
    </w:p>
    <w:p w:rsidR="00BF45D2" w:rsidRDefault="007D6F70" w:rsidP="00BF45D2">
      <w:pPr>
        <w:pStyle w:val="Body"/>
        <w:ind w:firstLine="720"/>
        <w:rPr>
          <w:sz w:val="22"/>
        </w:rPr>
      </w:pPr>
      <w:r>
        <w:rPr>
          <w:sz w:val="22"/>
        </w:rPr>
        <w:t xml:space="preserve">The accompanying </w:t>
      </w:r>
      <w:r w:rsidR="00752A04">
        <w:rPr>
          <w:sz w:val="22"/>
        </w:rPr>
        <w:t>c</w:t>
      </w:r>
      <w:r>
        <w:rPr>
          <w:sz w:val="22"/>
        </w:rPr>
        <w:t xml:space="preserve">onsolidated </w:t>
      </w:r>
      <w:r w:rsidR="00752A04">
        <w:rPr>
          <w:sz w:val="22"/>
        </w:rPr>
        <w:t>f</w:t>
      </w:r>
      <w:r>
        <w:rPr>
          <w:sz w:val="22"/>
        </w:rPr>
        <w:t xml:space="preserve">inancial </w:t>
      </w:r>
      <w:r w:rsidR="00752A04">
        <w:rPr>
          <w:sz w:val="22"/>
        </w:rPr>
        <w:t>s</w:t>
      </w:r>
      <w:r>
        <w:rPr>
          <w:sz w:val="22"/>
        </w:rPr>
        <w:t>tatements of TRAC Intermodal LLC (the “Company</w:t>
      </w:r>
      <w:r w:rsidR="00DE5C83">
        <w:rPr>
          <w:sz w:val="22"/>
        </w:rPr>
        <w:t>,</w:t>
      </w:r>
      <w:r>
        <w:rPr>
          <w:sz w:val="22"/>
        </w:rPr>
        <w:t xml:space="preserve">” </w:t>
      </w:r>
      <w:r w:rsidR="00DE5C83">
        <w:rPr>
          <w:sz w:val="22"/>
        </w:rPr>
        <w:t xml:space="preserve">“we,” “our” </w:t>
      </w:r>
      <w:r>
        <w:rPr>
          <w:sz w:val="22"/>
        </w:rPr>
        <w:t>or “TRAC”) are unaudited and have been prepared pursuant to</w:t>
      </w:r>
      <w:r w:rsidR="0043492B">
        <w:rPr>
          <w:sz w:val="22"/>
        </w:rPr>
        <w:t xml:space="preserve"> U.S. generally accepted accounting principles (“U.S. GAAP”) and</w:t>
      </w:r>
      <w:r>
        <w:rPr>
          <w:sz w:val="22"/>
        </w:rPr>
        <w:t xml:space="preserve"> the rules and regulations of the Securities and Exchange Commission (the “SEC”) for interim financial reporting and, in our opinion, reflect all adjustments, including normal recurring items, which are necessary to present fairly the results for interim periods.  Operating results for the periods presented are not necessarily indicative of the results that may be expected for the entire year.  Certain information and footnote disclosures normally included in consolidated financial statements prepared in accordance with U.S. GAAP have been omitted in accordance with the rules and regulations of the SEC; however, we believe that the disclosures are adequate to make information presented not mislea</w:t>
      </w:r>
      <w:r w:rsidR="00BF45D2">
        <w:rPr>
          <w:sz w:val="22"/>
        </w:rPr>
        <w:t xml:space="preserve">ding.  </w:t>
      </w:r>
      <w:r w:rsidR="00BF45D2" w:rsidRPr="00BF45D2">
        <w:rPr>
          <w:sz w:val="22"/>
          <w:szCs w:val="22"/>
        </w:rPr>
        <w:t xml:space="preserve"> </w:t>
      </w:r>
      <w:r w:rsidR="00BF45D2" w:rsidRPr="00F035C5">
        <w:rPr>
          <w:sz w:val="22"/>
          <w:szCs w:val="22"/>
        </w:rPr>
        <w:t>The</w:t>
      </w:r>
      <w:r w:rsidR="00BF45D2">
        <w:rPr>
          <w:sz w:val="22"/>
          <w:szCs w:val="22"/>
        </w:rPr>
        <w:t>se</w:t>
      </w:r>
      <w:r w:rsidR="00BF45D2" w:rsidRPr="00F035C5">
        <w:rPr>
          <w:sz w:val="22"/>
          <w:szCs w:val="22"/>
        </w:rPr>
        <w:t xml:space="preserve"> interim </w:t>
      </w:r>
      <w:r w:rsidR="00752A04">
        <w:rPr>
          <w:sz w:val="22"/>
          <w:szCs w:val="22"/>
        </w:rPr>
        <w:t>c</w:t>
      </w:r>
      <w:r w:rsidR="00BF45D2" w:rsidRPr="00F035C5">
        <w:rPr>
          <w:sz w:val="22"/>
          <w:szCs w:val="22"/>
        </w:rPr>
        <w:t xml:space="preserve">onsolidated </w:t>
      </w:r>
      <w:r w:rsidR="00752A04">
        <w:rPr>
          <w:sz w:val="22"/>
          <w:szCs w:val="22"/>
        </w:rPr>
        <w:t>f</w:t>
      </w:r>
      <w:r w:rsidR="00BF45D2" w:rsidRPr="00F035C5">
        <w:rPr>
          <w:sz w:val="22"/>
          <w:szCs w:val="22"/>
        </w:rPr>
        <w:t xml:space="preserve">inancial </w:t>
      </w:r>
      <w:r w:rsidR="00752A04">
        <w:rPr>
          <w:sz w:val="22"/>
          <w:szCs w:val="22"/>
        </w:rPr>
        <w:t>s</w:t>
      </w:r>
      <w:r w:rsidR="00BF45D2" w:rsidRPr="00F035C5">
        <w:rPr>
          <w:sz w:val="22"/>
          <w:szCs w:val="22"/>
        </w:rPr>
        <w:t xml:space="preserve">tatements should be read in conjunction with the </w:t>
      </w:r>
      <w:r w:rsidR="00752A04">
        <w:rPr>
          <w:sz w:val="22"/>
          <w:szCs w:val="22"/>
        </w:rPr>
        <w:t>c</w:t>
      </w:r>
      <w:r w:rsidR="00BF45D2" w:rsidRPr="00F035C5">
        <w:rPr>
          <w:sz w:val="22"/>
          <w:szCs w:val="22"/>
        </w:rPr>
        <w:t xml:space="preserve">onsolidated </w:t>
      </w:r>
      <w:r w:rsidR="00752A04">
        <w:rPr>
          <w:sz w:val="22"/>
          <w:szCs w:val="22"/>
        </w:rPr>
        <w:t>f</w:t>
      </w:r>
      <w:r w:rsidR="00BF45D2" w:rsidRPr="00F035C5">
        <w:rPr>
          <w:sz w:val="22"/>
          <w:szCs w:val="22"/>
        </w:rPr>
        <w:t xml:space="preserve">inancial </w:t>
      </w:r>
      <w:r w:rsidR="00752A04">
        <w:rPr>
          <w:sz w:val="22"/>
          <w:szCs w:val="22"/>
        </w:rPr>
        <w:t>s</w:t>
      </w:r>
      <w:r w:rsidR="00BF45D2" w:rsidRPr="00F035C5">
        <w:rPr>
          <w:sz w:val="22"/>
          <w:szCs w:val="22"/>
        </w:rPr>
        <w:t>tatements and notes thereto included in the Company’s annual report on Form 10-K for the year ended December 31, 2013 and with the information contained in other publicly-available filings with the S</w:t>
      </w:r>
      <w:r w:rsidR="00DE5C83">
        <w:rPr>
          <w:sz w:val="22"/>
          <w:szCs w:val="22"/>
        </w:rPr>
        <w:t>EC.</w:t>
      </w:r>
      <w:r>
        <w:rPr>
          <w:sz w:val="22"/>
        </w:rPr>
        <w:t xml:space="preserve"> </w:t>
      </w:r>
    </w:p>
    <w:p w:rsidR="00BF45D2" w:rsidRDefault="00BD5068" w:rsidP="00BF45D2">
      <w:pPr>
        <w:widowControl/>
        <w:tabs>
          <w:tab w:val="left" w:pos="-720"/>
        </w:tabs>
        <w:suppressAutoHyphens/>
        <w:spacing w:after="240"/>
        <w:ind w:firstLine="720"/>
        <w:jc w:val="both"/>
        <w:rPr>
          <w:sz w:val="22"/>
        </w:rPr>
      </w:pPr>
      <w:r w:rsidRPr="00564BFF">
        <w:rPr>
          <w:sz w:val="22"/>
        </w:rPr>
        <w:t>TRAC</w:t>
      </w:r>
      <w:r w:rsidR="00BF45D2">
        <w:rPr>
          <w:sz w:val="22"/>
        </w:rPr>
        <w:t xml:space="preserve"> </w:t>
      </w:r>
      <w:r w:rsidRPr="00564BFF">
        <w:rPr>
          <w:sz w:val="22"/>
        </w:rPr>
        <w:t>is</w:t>
      </w:r>
      <w:r w:rsidR="00402089" w:rsidRPr="00564BFF">
        <w:rPr>
          <w:sz w:val="22"/>
        </w:rPr>
        <w:t xml:space="preserve"> </w:t>
      </w:r>
      <w:r w:rsidR="00564BFF" w:rsidRPr="00564BFF">
        <w:rPr>
          <w:sz w:val="22"/>
        </w:rPr>
        <w:t>an</w:t>
      </w:r>
      <w:r w:rsidR="00402089" w:rsidRPr="00564BFF">
        <w:rPr>
          <w:sz w:val="22"/>
        </w:rPr>
        <w:t xml:space="preserve"> intermodal chassis solutions provider for domestic and international transportation companies in North America.  </w:t>
      </w:r>
      <w:r w:rsidRPr="00564BFF">
        <w:rPr>
          <w:sz w:val="22"/>
        </w:rPr>
        <w:t>Its</w:t>
      </w:r>
      <w:r w:rsidR="00402089" w:rsidRPr="00564BFF">
        <w:rPr>
          <w:sz w:val="22"/>
        </w:rPr>
        <w:t xml:space="preserve"> principal business is providing marine and domestic chassis on both long and short-term leases or rental agreements to a diversified customer base including the world’s leading shipping lines, Class I railroads, major U.S. intermodal transportation companies and motor carriers. </w:t>
      </w:r>
      <w:r w:rsidR="00BF45D2" w:rsidRPr="000C576F">
        <w:rPr>
          <w:sz w:val="22"/>
        </w:rPr>
        <w:t>The Company and its subsidiaries conduct business principally in one industry, the leasing of intermodal transportation equipment. The Company has two reportable segments, the Marine Market segment and the Domestic Market segment. The Company purchases equipment directly from manufacturers and shipping lines as well as through lease agreements, some of which qualify as capital leases. Primarily all of the Company’s revenues and long-lived assets are attributable to the United States.</w:t>
      </w:r>
    </w:p>
    <w:p w:rsidR="000000C0" w:rsidRPr="00F035C5" w:rsidRDefault="00BF45D2" w:rsidP="00F057E8">
      <w:pPr>
        <w:widowControl/>
        <w:tabs>
          <w:tab w:val="left" w:pos="-720"/>
        </w:tabs>
        <w:suppressAutoHyphens/>
        <w:spacing w:after="240"/>
        <w:ind w:firstLine="720"/>
        <w:jc w:val="both"/>
        <w:rPr>
          <w:sz w:val="22"/>
        </w:rPr>
      </w:pPr>
      <w:r>
        <w:rPr>
          <w:sz w:val="22"/>
        </w:rPr>
        <w:t>TRAC is a Delaware limited liability</w:t>
      </w:r>
      <w:r w:rsidR="00490F8F">
        <w:rPr>
          <w:sz w:val="22"/>
        </w:rPr>
        <w:t xml:space="preserve"> company</w:t>
      </w:r>
      <w:r>
        <w:rPr>
          <w:sz w:val="22"/>
        </w:rPr>
        <w:t xml:space="preserve"> that was formed on July 12, 2012 in connection with the issuance of Senior Secured Notes offered in the Offering Memorandum related thereto dated August 2, 2012.  The Company conducts its business through its 100% owned subsidiary, Interpool, Inc. (“Interpool”) and its consolidated subsidiaries.  </w:t>
      </w:r>
      <w:r w:rsidR="00821032" w:rsidRPr="00F035C5">
        <w:rPr>
          <w:sz w:val="22"/>
        </w:rPr>
        <w:t xml:space="preserve"> </w:t>
      </w:r>
      <w:r w:rsidRPr="005135E7">
        <w:rPr>
          <w:sz w:val="22"/>
        </w:rPr>
        <w:t>TRAC is ultimately owned by Seacastle Inc. (“Seacastle”). Seacastle is owned by private equity funds that are managed by an affiliate of Fortress Investment Group LLC (“Fortress”) and by employees of affiliates of Seacastle. Interpool was founded in 1968 as an operating lessor servicing the intermodal transportation equipment industry. Interpool was listed on The New York Stock Exchange as a public company in 1993 and was acquired and taken private by Seacastle in July 2007.</w:t>
      </w:r>
    </w:p>
    <w:p w:rsidR="00744A72" w:rsidRPr="001B2B2A" w:rsidRDefault="00462FCD" w:rsidP="00EE2E7E">
      <w:pPr>
        <w:keepNext/>
        <w:keepLines/>
        <w:widowControl/>
        <w:tabs>
          <w:tab w:val="left" w:pos="-720"/>
          <w:tab w:val="left" w:pos="720"/>
          <w:tab w:val="left" w:pos="1440"/>
        </w:tabs>
        <w:suppressAutoHyphens/>
        <w:spacing w:after="240"/>
        <w:jc w:val="both"/>
        <w:rPr>
          <w:b/>
          <w:bCs/>
          <w:sz w:val="22"/>
        </w:rPr>
      </w:pPr>
      <w:r w:rsidRPr="001B2B2A">
        <w:rPr>
          <w:b/>
          <w:bCs/>
          <w:sz w:val="22"/>
        </w:rPr>
        <w:t>New</w:t>
      </w:r>
      <w:r w:rsidR="00CA14BE" w:rsidRPr="001B2B2A">
        <w:rPr>
          <w:b/>
          <w:bCs/>
          <w:sz w:val="22"/>
        </w:rPr>
        <w:t xml:space="preserve"> Accounting Standards</w:t>
      </w:r>
    </w:p>
    <w:p w:rsidR="001B2B2A" w:rsidRDefault="00CA14BE" w:rsidP="00B25A88">
      <w:pPr>
        <w:widowControl/>
        <w:tabs>
          <w:tab w:val="left" w:pos="-720"/>
        </w:tabs>
        <w:suppressAutoHyphens/>
        <w:spacing w:after="240"/>
        <w:ind w:firstLine="720"/>
        <w:jc w:val="both"/>
        <w:rPr>
          <w:sz w:val="22"/>
        </w:rPr>
      </w:pPr>
      <w:r w:rsidRPr="001B2B2A">
        <w:rPr>
          <w:sz w:val="22"/>
        </w:rPr>
        <w:t>No new accounting pronouncements issued or effective during 201</w:t>
      </w:r>
      <w:r w:rsidR="001B2B2A">
        <w:rPr>
          <w:sz w:val="22"/>
        </w:rPr>
        <w:t>4</w:t>
      </w:r>
      <w:r w:rsidRPr="001B2B2A">
        <w:rPr>
          <w:sz w:val="22"/>
        </w:rPr>
        <w:t xml:space="preserve"> had or are expected to have a material impact on the Company</w:t>
      </w:r>
      <w:r w:rsidR="00744A72" w:rsidRPr="001B2B2A">
        <w:rPr>
          <w:sz w:val="22"/>
        </w:rPr>
        <w:t>’</w:t>
      </w:r>
      <w:r w:rsidRPr="001B2B2A">
        <w:rPr>
          <w:sz w:val="22"/>
        </w:rPr>
        <w:t xml:space="preserve">s </w:t>
      </w:r>
      <w:r w:rsidR="00752A04">
        <w:rPr>
          <w:sz w:val="22"/>
        </w:rPr>
        <w:t>c</w:t>
      </w:r>
      <w:r w:rsidRPr="001B2B2A">
        <w:rPr>
          <w:sz w:val="22"/>
        </w:rPr>
        <w:t xml:space="preserve">onsolidated </w:t>
      </w:r>
      <w:r w:rsidR="00752A04">
        <w:rPr>
          <w:sz w:val="22"/>
        </w:rPr>
        <w:t>f</w:t>
      </w:r>
      <w:r w:rsidRPr="001B2B2A">
        <w:rPr>
          <w:sz w:val="22"/>
        </w:rPr>
        <w:t xml:space="preserve">inancial </w:t>
      </w:r>
      <w:r w:rsidR="00752A04">
        <w:rPr>
          <w:sz w:val="22"/>
        </w:rPr>
        <w:t>s</w:t>
      </w:r>
      <w:r w:rsidRPr="001B2B2A">
        <w:rPr>
          <w:sz w:val="22"/>
        </w:rPr>
        <w:t>tatements.</w:t>
      </w:r>
    </w:p>
    <w:p w:rsidR="00FA336B" w:rsidRPr="00B25A88" w:rsidRDefault="00FA336B" w:rsidP="00B25A88">
      <w:pPr>
        <w:widowControl/>
        <w:tabs>
          <w:tab w:val="left" w:pos="-720"/>
        </w:tabs>
        <w:suppressAutoHyphens/>
        <w:spacing w:after="240"/>
        <w:ind w:firstLine="720"/>
        <w:jc w:val="both"/>
        <w:rPr>
          <w:sz w:val="22"/>
        </w:rPr>
      </w:pPr>
    </w:p>
    <w:p w:rsidR="00CA14BE" w:rsidRPr="00255F9B" w:rsidRDefault="007E0EB9" w:rsidP="00EE2E7E">
      <w:pPr>
        <w:keepNext/>
        <w:keepLines/>
        <w:widowControl/>
        <w:tabs>
          <w:tab w:val="left" w:pos="-720"/>
          <w:tab w:val="left" w:pos="720"/>
          <w:tab w:val="left" w:pos="1440"/>
        </w:tabs>
        <w:suppressAutoHyphens/>
        <w:spacing w:after="240"/>
        <w:jc w:val="both"/>
        <w:rPr>
          <w:b/>
          <w:bCs/>
          <w:sz w:val="22"/>
        </w:rPr>
      </w:pPr>
      <w:r w:rsidRPr="00255F9B">
        <w:rPr>
          <w:b/>
          <w:bCs/>
          <w:sz w:val="22"/>
        </w:rPr>
        <w:lastRenderedPageBreak/>
        <w:t>2</w:t>
      </w:r>
      <w:r w:rsidR="00CA14BE" w:rsidRPr="00255F9B">
        <w:rPr>
          <w:b/>
          <w:bCs/>
          <w:sz w:val="22"/>
        </w:rPr>
        <w:t>. Leasing Activity</w:t>
      </w:r>
    </w:p>
    <w:p w:rsidR="00CA14BE" w:rsidRPr="00255F9B" w:rsidRDefault="00CA14BE" w:rsidP="00EE2E7E">
      <w:pPr>
        <w:keepNext/>
        <w:keepLines/>
        <w:widowControl/>
        <w:tabs>
          <w:tab w:val="left" w:pos="-720"/>
          <w:tab w:val="left" w:pos="720"/>
          <w:tab w:val="left" w:pos="1440"/>
        </w:tabs>
        <w:suppressAutoHyphens/>
        <w:spacing w:after="240"/>
        <w:jc w:val="both"/>
        <w:rPr>
          <w:b/>
          <w:bCs/>
          <w:sz w:val="22"/>
        </w:rPr>
      </w:pPr>
      <w:r w:rsidRPr="00255F9B">
        <w:rPr>
          <w:b/>
          <w:bCs/>
          <w:sz w:val="22"/>
        </w:rPr>
        <w:t>Equipment Leasing Revenue</w:t>
      </w:r>
    </w:p>
    <w:p w:rsidR="00744A72" w:rsidRPr="00255F9B" w:rsidRDefault="00CA14BE" w:rsidP="00EE2E7E">
      <w:pPr>
        <w:widowControl/>
        <w:tabs>
          <w:tab w:val="left" w:pos="-720"/>
        </w:tabs>
        <w:suppressAutoHyphens/>
        <w:spacing w:after="240"/>
        <w:ind w:firstLine="720"/>
        <w:jc w:val="both"/>
        <w:rPr>
          <w:sz w:val="22"/>
        </w:rPr>
      </w:pPr>
      <w:r w:rsidRPr="00255F9B">
        <w:rPr>
          <w:sz w:val="22"/>
        </w:rPr>
        <w:t>The Company has non</w:t>
      </w:r>
      <w:r w:rsidR="00744A72" w:rsidRPr="00255F9B">
        <w:rPr>
          <w:sz w:val="22"/>
        </w:rPr>
        <w:t>-</w:t>
      </w:r>
      <w:r w:rsidRPr="00255F9B">
        <w:rPr>
          <w:sz w:val="22"/>
        </w:rPr>
        <w:t xml:space="preserve">cancelable operating leases for its leasing equipment. At </w:t>
      </w:r>
      <w:r w:rsidR="00255F9B">
        <w:rPr>
          <w:sz w:val="22"/>
        </w:rPr>
        <w:t>March</w:t>
      </w:r>
      <w:r w:rsidRPr="00255F9B">
        <w:rPr>
          <w:sz w:val="22"/>
        </w:rPr>
        <w:t> 3</w:t>
      </w:r>
      <w:r w:rsidR="00255F9B">
        <w:rPr>
          <w:sz w:val="22"/>
        </w:rPr>
        <w:t>1</w:t>
      </w:r>
      <w:r w:rsidRPr="00255F9B">
        <w:rPr>
          <w:sz w:val="22"/>
        </w:rPr>
        <w:t>, 201</w:t>
      </w:r>
      <w:r w:rsidR="00255F9B">
        <w:rPr>
          <w:sz w:val="22"/>
        </w:rPr>
        <w:t>4</w:t>
      </w:r>
      <w:r w:rsidRPr="00255F9B">
        <w:rPr>
          <w:sz w:val="22"/>
        </w:rPr>
        <w:t>, future minimum lease revenue under these agreements is estimated as follows:</w:t>
      </w:r>
    </w:p>
    <w:tbl>
      <w:tblPr>
        <w:tblW w:w="0" w:type="auto"/>
        <w:jc w:val="center"/>
        <w:tblLayout w:type="fixed"/>
        <w:tblCellMar>
          <w:left w:w="72" w:type="dxa"/>
          <w:right w:w="72" w:type="dxa"/>
        </w:tblCellMar>
        <w:tblLook w:val="0000" w:firstRow="0" w:lastRow="0" w:firstColumn="0" w:lastColumn="0" w:noHBand="0" w:noVBand="0"/>
      </w:tblPr>
      <w:tblGrid>
        <w:gridCol w:w="7349"/>
        <w:gridCol w:w="1398"/>
      </w:tblGrid>
      <w:tr w:rsidR="00CA14BE" w:rsidRPr="00255F9B" w:rsidTr="00565D05">
        <w:trPr>
          <w:cantSplit/>
          <w:jc w:val="center"/>
        </w:trPr>
        <w:tc>
          <w:tcPr>
            <w:tcW w:w="7349" w:type="dxa"/>
            <w:tcBorders>
              <w:top w:val="nil"/>
              <w:left w:val="nil"/>
              <w:bottom w:val="nil"/>
              <w:right w:val="nil"/>
            </w:tcBorders>
          </w:tcPr>
          <w:p w:rsidR="00CA14BE" w:rsidRPr="00255F9B" w:rsidRDefault="00CA14BE" w:rsidP="00255F9B">
            <w:pPr>
              <w:widowControl/>
              <w:suppressAutoHyphens/>
              <w:ind w:left="200" w:hanging="200"/>
              <w:rPr>
                <w:sz w:val="22"/>
              </w:rPr>
            </w:pPr>
            <w:r w:rsidRPr="00255F9B">
              <w:rPr>
                <w:sz w:val="22"/>
              </w:rPr>
              <w:t>201</w:t>
            </w:r>
            <w:r w:rsidR="00255F9B">
              <w:rPr>
                <w:sz w:val="22"/>
              </w:rPr>
              <w:t>4</w:t>
            </w:r>
            <w:r w:rsidRPr="00255F9B">
              <w:rPr>
                <w:sz w:val="22"/>
              </w:rPr>
              <w:tab/>
            </w:r>
          </w:p>
        </w:tc>
        <w:tc>
          <w:tcPr>
            <w:tcW w:w="1398" w:type="dxa"/>
            <w:tcBorders>
              <w:top w:val="nil"/>
              <w:left w:val="nil"/>
              <w:bottom w:val="nil"/>
              <w:right w:val="nil"/>
            </w:tcBorders>
            <w:vAlign w:val="bottom"/>
          </w:tcPr>
          <w:p w:rsidR="00CA14BE" w:rsidRPr="003862D1" w:rsidRDefault="00CA14BE" w:rsidP="003862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862D1">
              <w:rPr>
                <w:sz w:val="22"/>
              </w:rPr>
              <w:t>$</w:t>
            </w:r>
            <w:r w:rsidR="00046011" w:rsidRPr="003862D1">
              <w:rPr>
                <w:sz w:val="22"/>
              </w:rPr>
              <w:t xml:space="preserve">    </w:t>
            </w:r>
            <w:r w:rsidR="006A249F" w:rsidRPr="003862D1">
              <w:rPr>
                <w:sz w:val="22"/>
              </w:rPr>
              <w:t xml:space="preserve"> </w:t>
            </w:r>
            <w:r w:rsidR="00046011" w:rsidRPr="003862D1">
              <w:rPr>
                <w:sz w:val="22"/>
              </w:rPr>
              <w:t xml:space="preserve">    </w:t>
            </w:r>
            <w:r w:rsidR="003862D1" w:rsidRPr="003862D1">
              <w:rPr>
                <w:sz w:val="22"/>
              </w:rPr>
              <w:t>76</w:t>
            </w:r>
            <w:r w:rsidR="0059484C" w:rsidRPr="003862D1">
              <w:rPr>
                <w:sz w:val="22"/>
              </w:rPr>
              <w:t>,</w:t>
            </w:r>
            <w:r w:rsidR="003862D1" w:rsidRPr="003862D1">
              <w:rPr>
                <w:sz w:val="22"/>
              </w:rPr>
              <w:t>925</w:t>
            </w:r>
          </w:p>
        </w:tc>
      </w:tr>
      <w:tr w:rsidR="00CA14BE" w:rsidRPr="00255F9B" w:rsidTr="00565D05">
        <w:trPr>
          <w:cantSplit/>
          <w:jc w:val="center"/>
        </w:trPr>
        <w:tc>
          <w:tcPr>
            <w:tcW w:w="7349" w:type="dxa"/>
            <w:tcBorders>
              <w:top w:val="nil"/>
              <w:left w:val="nil"/>
              <w:bottom w:val="nil"/>
              <w:right w:val="nil"/>
            </w:tcBorders>
          </w:tcPr>
          <w:p w:rsidR="00CA14BE" w:rsidRPr="00255F9B" w:rsidRDefault="00863B5C" w:rsidP="00255F9B">
            <w:pPr>
              <w:widowControl/>
              <w:suppressAutoHyphens/>
              <w:ind w:left="200" w:hanging="200"/>
              <w:rPr>
                <w:sz w:val="22"/>
              </w:rPr>
            </w:pPr>
            <w:r w:rsidRPr="00255F9B">
              <w:rPr>
                <w:sz w:val="22"/>
              </w:rPr>
              <w:t>201</w:t>
            </w:r>
            <w:r w:rsidR="00255F9B">
              <w:rPr>
                <w:sz w:val="22"/>
              </w:rPr>
              <w:t>5</w:t>
            </w:r>
            <w:r w:rsidRPr="00255F9B">
              <w:rPr>
                <w:sz w:val="22"/>
              </w:rPr>
              <w:tab/>
            </w:r>
            <w:r w:rsidR="00CA14BE" w:rsidRPr="00255F9B">
              <w:rPr>
                <w:sz w:val="22"/>
              </w:rPr>
              <w:tab/>
            </w:r>
          </w:p>
        </w:tc>
        <w:tc>
          <w:tcPr>
            <w:tcW w:w="1398" w:type="dxa"/>
            <w:tcBorders>
              <w:top w:val="nil"/>
              <w:left w:val="nil"/>
              <w:bottom w:val="nil"/>
              <w:right w:val="nil"/>
            </w:tcBorders>
            <w:vAlign w:val="bottom"/>
          </w:tcPr>
          <w:p w:rsidR="00CA14BE" w:rsidRPr="003862D1" w:rsidRDefault="003862D1" w:rsidP="003862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862D1">
              <w:rPr>
                <w:sz w:val="22"/>
              </w:rPr>
              <w:t>69</w:t>
            </w:r>
            <w:r w:rsidR="0059484C" w:rsidRPr="003862D1">
              <w:rPr>
                <w:sz w:val="22"/>
              </w:rPr>
              <w:t>,</w:t>
            </w:r>
            <w:r w:rsidRPr="003862D1">
              <w:rPr>
                <w:sz w:val="22"/>
              </w:rPr>
              <w:t>975</w:t>
            </w:r>
          </w:p>
        </w:tc>
      </w:tr>
      <w:tr w:rsidR="00CA14BE" w:rsidRPr="00255F9B" w:rsidTr="00565D05">
        <w:trPr>
          <w:cantSplit/>
          <w:jc w:val="center"/>
        </w:trPr>
        <w:tc>
          <w:tcPr>
            <w:tcW w:w="7349" w:type="dxa"/>
            <w:tcBorders>
              <w:top w:val="nil"/>
              <w:left w:val="nil"/>
              <w:bottom w:val="nil"/>
              <w:right w:val="nil"/>
            </w:tcBorders>
          </w:tcPr>
          <w:p w:rsidR="00CA14BE" w:rsidRPr="00255F9B" w:rsidRDefault="00863B5C" w:rsidP="00255F9B">
            <w:pPr>
              <w:widowControl/>
              <w:suppressAutoHyphens/>
              <w:ind w:left="200" w:hanging="200"/>
              <w:rPr>
                <w:sz w:val="22"/>
              </w:rPr>
            </w:pPr>
            <w:r w:rsidRPr="00255F9B">
              <w:rPr>
                <w:sz w:val="22"/>
              </w:rPr>
              <w:t>201</w:t>
            </w:r>
            <w:r w:rsidR="00255F9B">
              <w:rPr>
                <w:sz w:val="22"/>
              </w:rPr>
              <w:t>6</w:t>
            </w:r>
            <w:r w:rsidRPr="00255F9B">
              <w:rPr>
                <w:sz w:val="22"/>
              </w:rPr>
              <w:tab/>
            </w:r>
            <w:r w:rsidR="00CA14BE" w:rsidRPr="00255F9B">
              <w:rPr>
                <w:sz w:val="22"/>
              </w:rPr>
              <w:tab/>
            </w:r>
          </w:p>
        </w:tc>
        <w:tc>
          <w:tcPr>
            <w:tcW w:w="1398" w:type="dxa"/>
            <w:tcBorders>
              <w:top w:val="nil"/>
              <w:left w:val="nil"/>
              <w:bottom w:val="nil"/>
              <w:right w:val="nil"/>
            </w:tcBorders>
            <w:vAlign w:val="bottom"/>
          </w:tcPr>
          <w:p w:rsidR="00CA14BE" w:rsidRPr="003862D1" w:rsidRDefault="003862D1" w:rsidP="003862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862D1">
              <w:rPr>
                <w:sz w:val="22"/>
              </w:rPr>
              <w:t>41</w:t>
            </w:r>
            <w:r w:rsidR="0059484C" w:rsidRPr="003862D1">
              <w:rPr>
                <w:sz w:val="22"/>
              </w:rPr>
              <w:t>,</w:t>
            </w:r>
            <w:r w:rsidRPr="003862D1">
              <w:rPr>
                <w:sz w:val="22"/>
              </w:rPr>
              <w:t>824</w:t>
            </w:r>
          </w:p>
        </w:tc>
      </w:tr>
      <w:tr w:rsidR="00CA14BE" w:rsidRPr="00255F9B" w:rsidTr="00565D05">
        <w:trPr>
          <w:cantSplit/>
          <w:jc w:val="center"/>
        </w:trPr>
        <w:tc>
          <w:tcPr>
            <w:tcW w:w="7349" w:type="dxa"/>
            <w:tcBorders>
              <w:top w:val="nil"/>
              <w:left w:val="nil"/>
              <w:bottom w:val="nil"/>
              <w:right w:val="nil"/>
            </w:tcBorders>
          </w:tcPr>
          <w:p w:rsidR="00CA14BE" w:rsidRPr="00255F9B" w:rsidRDefault="00863B5C" w:rsidP="00255F9B">
            <w:pPr>
              <w:widowControl/>
              <w:suppressAutoHyphens/>
              <w:ind w:left="200" w:hanging="200"/>
              <w:rPr>
                <w:sz w:val="22"/>
              </w:rPr>
            </w:pPr>
            <w:r w:rsidRPr="00255F9B">
              <w:rPr>
                <w:sz w:val="22"/>
              </w:rPr>
              <w:t>201</w:t>
            </w:r>
            <w:r w:rsidR="00255F9B">
              <w:rPr>
                <w:sz w:val="22"/>
              </w:rPr>
              <w:t>7</w:t>
            </w:r>
            <w:r w:rsidRPr="00255F9B">
              <w:rPr>
                <w:sz w:val="22"/>
              </w:rPr>
              <w:tab/>
            </w:r>
          </w:p>
        </w:tc>
        <w:tc>
          <w:tcPr>
            <w:tcW w:w="1398" w:type="dxa"/>
            <w:tcBorders>
              <w:top w:val="nil"/>
              <w:left w:val="nil"/>
              <w:bottom w:val="nil"/>
              <w:right w:val="nil"/>
            </w:tcBorders>
            <w:vAlign w:val="bottom"/>
          </w:tcPr>
          <w:p w:rsidR="00CA14BE" w:rsidRPr="003862D1" w:rsidRDefault="003862D1" w:rsidP="003862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862D1">
              <w:rPr>
                <w:sz w:val="22"/>
              </w:rPr>
              <w:t>29</w:t>
            </w:r>
            <w:r w:rsidR="0059484C" w:rsidRPr="003862D1">
              <w:rPr>
                <w:sz w:val="22"/>
              </w:rPr>
              <w:t>,</w:t>
            </w:r>
            <w:r w:rsidRPr="003862D1">
              <w:rPr>
                <w:sz w:val="22"/>
              </w:rPr>
              <w:t>229</w:t>
            </w:r>
          </w:p>
        </w:tc>
      </w:tr>
      <w:tr w:rsidR="00CA14BE" w:rsidRPr="00255F9B" w:rsidTr="00565D05">
        <w:trPr>
          <w:cantSplit/>
          <w:jc w:val="center"/>
        </w:trPr>
        <w:tc>
          <w:tcPr>
            <w:tcW w:w="7349" w:type="dxa"/>
            <w:tcBorders>
              <w:top w:val="nil"/>
              <w:left w:val="nil"/>
              <w:bottom w:val="nil"/>
              <w:right w:val="nil"/>
            </w:tcBorders>
          </w:tcPr>
          <w:p w:rsidR="00CA14BE" w:rsidRPr="00255F9B" w:rsidRDefault="00863B5C" w:rsidP="00255F9B">
            <w:pPr>
              <w:widowControl/>
              <w:suppressAutoHyphens/>
              <w:ind w:left="200" w:hanging="200"/>
              <w:rPr>
                <w:sz w:val="22"/>
              </w:rPr>
            </w:pPr>
            <w:r w:rsidRPr="00255F9B">
              <w:rPr>
                <w:sz w:val="22"/>
              </w:rPr>
              <w:t>201</w:t>
            </w:r>
            <w:r w:rsidR="00255F9B">
              <w:rPr>
                <w:sz w:val="22"/>
              </w:rPr>
              <w:t>8</w:t>
            </w:r>
            <w:r w:rsidRPr="00255F9B">
              <w:rPr>
                <w:sz w:val="22"/>
              </w:rPr>
              <w:tab/>
            </w:r>
            <w:r w:rsidR="00CA14BE" w:rsidRPr="00255F9B">
              <w:rPr>
                <w:sz w:val="22"/>
              </w:rPr>
              <w:tab/>
            </w:r>
          </w:p>
        </w:tc>
        <w:tc>
          <w:tcPr>
            <w:tcW w:w="1398" w:type="dxa"/>
            <w:tcBorders>
              <w:top w:val="nil"/>
              <w:left w:val="nil"/>
              <w:bottom w:val="nil"/>
              <w:right w:val="nil"/>
            </w:tcBorders>
            <w:vAlign w:val="bottom"/>
          </w:tcPr>
          <w:p w:rsidR="00CA14BE" w:rsidRPr="003862D1" w:rsidRDefault="003862D1" w:rsidP="003862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862D1">
              <w:rPr>
                <w:sz w:val="22"/>
              </w:rPr>
              <w:t>3</w:t>
            </w:r>
            <w:r w:rsidR="0059484C" w:rsidRPr="003862D1">
              <w:rPr>
                <w:sz w:val="22"/>
              </w:rPr>
              <w:t>,</w:t>
            </w:r>
            <w:r w:rsidRPr="003862D1">
              <w:rPr>
                <w:sz w:val="22"/>
              </w:rPr>
              <w:t>193</w:t>
            </w:r>
          </w:p>
        </w:tc>
      </w:tr>
      <w:tr w:rsidR="00CA14BE" w:rsidRPr="00255F9B" w:rsidTr="00565D05">
        <w:trPr>
          <w:cantSplit/>
          <w:jc w:val="center"/>
        </w:trPr>
        <w:tc>
          <w:tcPr>
            <w:tcW w:w="7349" w:type="dxa"/>
            <w:tcBorders>
              <w:top w:val="nil"/>
              <w:left w:val="nil"/>
              <w:bottom w:val="nil"/>
              <w:right w:val="nil"/>
            </w:tcBorders>
          </w:tcPr>
          <w:p w:rsidR="00CA14BE" w:rsidRPr="00255F9B" w:rsidRDefault="00CA14BE" w:rsidP="002A6F3E">
            <w:pPr>
              <w:widowControl/>
              <w:suppressAutoHyphens/>
              <w:spacing w:after="20"/>
              <w:ind w:left="200" w:hanging="200"/>
              <w:rPr>
                <w:sz w:val="22"/>
              </w:rPr>
            </w:pPr>
            <w:r w:rsidRPr="00255F9B">
              <w:rPr>
                <w:sz w:val="22"/>
              </w:rPr>
              <w:t>Thereafter</w:t>
            </w:r>
            <w:r w:rsidRPr="00255F9B">
              <w:rPr>
                <w:sz w:val="22"/>
              </w:rPr>
              <w:tab/>
            </w:r>
          </w:p>
        </w:tc>
        <w:tc>
          <w:tcPr>
            <w:tcW w:w="1398" w:type="dxa"/>
            <w:tcBorders>
              <w:top w:val="nil"/>
              <w:left w:val="nil"/>
              <w:bottom w:val="nil"/>
              <w:right w:val="nil"/>
            </w:tcBorders>
            <w:vAlign w:val="bottom"/>
          </w:tcPr>
          <w:p w:rsidR="00CA14BE" w:rsidRPr="003862D1" w:rsidRDefault="003862D1" w:rsidP="003862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3862D1">
              <w:rPr>
                <w:sz w:val="22"/>
              </w:rPr>
              <w:t>2</w:t>
            </w:r>
            <w:r w:rsidR="0059484C" w:rsidRPr="003862D1">
              <w:rPr>
                <w:sz w:val="22"/>
              </w:rPr>
              <w:t>,</w:t>
            </w:r>
            <w:r w:rsidRPr="003862D1">
              <w:rPr>
                <w:sz w:val="22"/>
              </w:rPr>
              <w:t>457</w:t>
            </w:r>
          </w:p>
        </w:tc>
      </w:tr>
      <w:tr w:rsidR="00CA14BE" w:rsidRPr="0053635E" w:rsidTr="00565D05">
        <w:trPr>
          <w:cantSplit/>
          <w:jc w:val="center"/>
        </w:trPr>
        <w:tc>
          <w:tcPr>
            <w:tcW w:w="7349" w:type="dxa"/>
            <w:tcBorders>
              <w:top w:val="nil"/>
              <w:left w:val="nil"/>
              <w:bottom w:val="nil"/>
              <w:right w:val="nil"/>
            </w:tcBorders>
          </w:tcPr>
          <w:p w:rsidR="00CA14BE" w:rsidRPr="00255F9B"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ind w:left="200" w:hanging="200"/>
              <w:rPr>
                <w:sz w:val="22"/>
              </w:rPr>
            </w:pPr>
          </w:p>
        </w:tc>
        <w:tc>
          <w:tcPr>
            <w:tcW w:w="1398" w:type="dxa"/>
            <w:tcBorders>
              <w:top w:val="nil"/>
              <w:left w:val="nil"/>
              <w:bottom w:val="nil"/>
              <w:right w:val="nil"/>
            </w:tcBorders>
            <w:vAlign w:val="bottom"/>
          </w:tcPr>
          <w:p w:rsidR="00CA14BE" w:rsidRPr="003862D1" w:rsidRDefault="00CA14BE" w:rsidP="003862D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3862D1">
              <w:rPr>
                <w:sz w:val="22"/>
              </w:rPr>
              <w:t>$</w:t>
            </w:r>
            <w:r w:rsidR="00046011" w:rsidRPr="003862D1">
              <w:rPr>
                <w:sz w:val="22"/>
              </w:rPr>
              <w:t xml:space="preserve">       </w:t>
            </w:r>
            <w:r w:rsidR="003862D1" w:rsidRPr="003862D1">
              <w:rPr>
                <w:sz w:val="22"/>
              </w:rPr>
              <w:t>223</w:t>
            </w:r>
            <w:r w:rsidRPr="003862D1">
              <w:rPr>
                <w:sz w:val="22"/>
              </w:rPr>
              <w:t>,</w:t>
            </w:r>
            <w:r w:rsidR="003862D1" w:rsidRPr="003862D1">
              <w:rPr>
                <w:sz w:val="22"/>
              </w:rPr>
              <w:t>603</w:t>
            </w:r>
          </w:p>
        </w:tc>
      </w:tr>
    </w:tbl>
    <w:p w:rsidR="009824CF" w:rsidRPr="004413A7" w:rsidRDefault="009824CF" w:rsidP="006C1D48">
      <w:pPr>
        <w:widowControl/>
        <w:tabs>
          <w:tab w:val="left" w:pos="-720"/>
        </w:tabs>
        <w:suppressAutoHyphens/>
        <w:spacing w:after="240"/>
        <w:jc w:val="both"/>
        <w:rPr>
          <w:b/>
          <w:sz w:val="22"/>
        </w:rPr>
      </w:pPr>
      <w:r w:rsidRPr="004413A7">
        <w:rPr>
          <w:b/>
          <w:sz w:val="22"/>
        </w:rPr>
        <w:t>Finance</w:t>
      </w:r>
      <w:r w:rsidR="006C1D48" w:rsidRPr="004413A7">
        <w:rPr>
          <w:b/>
          <w:sz w:val="22"/>
        </w:rPr>
        <w:t xml:space="preserve"> Revenue</w:t>
      </w:r>
    </w:p>
    <w:p w:rsidR="00744A72" w:rsidRPr="0025538B" w:rsidRDefault="00CA14BE" w:rsidP="00744A72">
      <w:pPr>
        <w:widowControl/>
        <w:tabs>
          <w:tab w:val="left" w:pos="-720"/>
        </w:tabs>
        <w:suppressAutoHyphens/>
        <w:spacing w:after="240"/>
        <w:ind w:firstLine="720"/>
        <w:rPr>
          <w:sz w:val="22"/>
        </w:rPr>
      </w:pPr>
      <w:r w:rsidRPr="0025538B">
        <w:rPr>
          <w:sz w:val="22"/>
        </w:rPr>
        <w:t xml:space="preserve">At </w:t>
      </w:r>
      <w:r w:rsidR="0025538B" w:rsidRPr="0025538B">
        <w:rPr>
          <w:sz w:val="22"/>
        </w:rPr>
        <w:t>March</w:t>
      </w:r>
      <w:r w:rsidRPr="0025538B">
        <w:rPr>
          <w:sz w:val="22"/>
        </w:rPr>
        <w:t> 3</w:t>
      </w:r>
      <w:r w:rsidR="0025538B" w:rsidRPr="0025538B">
        <w:rPr>
          <w:sz w:val="22"/>
        </w:rPr>
        <w:t>1</w:t>
      </w:r>
      <w:r w:rsidRPr="0025538B">
        <w:rPr>
          <w:sz w:val="22"/>
        </w:rPr>
        <w:t>, 201</w:t>
      </w:r>
      <w:r w:rsidR="0025538B" w:rsidRPr="0025538B">
        <w:rPr>
          <w:sz w:val="22"/>
        </w:rPr>
        <w:t>4</w:t>
      </w:r>
      <w:r w:rsidRPr="0025538B">
        <w:rPr>
          <w:sz w:val="22"/>
        </w:rPr>
        <w:t xml:space="preserve">, receivables under direct finance leases are collectible </w:t>
      </w:r>
      <w:r w:rsidRPr="000C1525">
        <w:rPr>
          <w:sz w:val="22"/>
        </w:rPr>
        <w:t>through 2022 as follows</w:t>
      </w:r>
      <w:r w:rsidRPr="0025538B">
        <w:rPr>
          <w:sz w:val="22"/>
        </w:rPr>
        <w:t>:</w:t>
      </w:r>
    </w:p>
    <w:tbl>
      <w:tblPr>
        <w:tblW w:w="0" w:type="auto"/>
        <w:jc w:val="center"/>
        <w:tblLayout w:type="fixed"/>
        <w:tblCellMar>
          <w:left w:w="72" w:type="dxa"/>
          <w:right w:w="72" w:type="dxa"/>
        </w:tblCellMar>
        <w:tblLook w:val="0000" w:firstRow="0" w:lastRow="0" w:firstColumn="0" w:lastColumn="0" w:noHBand="0" w:noVBand="0"/>
      </w:tblPr>
      <w:tblGrid>
        <w:gridCol w:w="4226"/>
        <w:gridCol w:w="1450"/>
        <w:gridCol w:w="1562"/>
        <w:gridCol w:w="1450"/>
      </w:tblGrid>
      <w:tr w:rsidR="00CA14BE" w:rsidRPr="0053635E" w:rsidTr="009064E7">
        <w:trPr>
          <w:cantSplit/>
          <w:jc w:val="center"/>
        </w:trPr>
        <w:tc>
          <w:tcPr>
            <w:tcW w:w="4226" w:type="dxa"/>
            <w:tcBorders>
              <w:top w:val="nil"/>
              <w:left w:val="nil"/>
              <w:bottom w:val="nil"/>
              <w:right w:val="nil"/>
            </w:tcBorders>
            <w:vAlign w:val="bottom"/>
          </w:tcPr>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highlight w:val="yellow"/>
              </w:rPr>
            </w:pPr>
          </w:p>
        </w:tc>
        <w:tc>
          <w:tcPr>
            <w:tcW w:w="1450" w:type="dxa"/>
            <w:tcBorders>
              <w:top w:val="nil"/>
              <w:left w:val="nil"/>
              <w:bottom w:val="nil"/>
              <w:right w:val="nil"/>
            </w:tcBorders>
            <w:vAlign w:val="bottom"/>
          </w:tcPr>
          <w:p w:rsidR="00CA14BE" w:rsidRPr="0025538B"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25538B">
              <w:rPr>
                <w:b/>
                <w:bCs/>
                <w:sz w:val="22"/>
              </w:rPr>
              <w:t>Total Lease</w:t>
            </w:r>
            <w:r w:rsidR="00744A72" w:rsidRPr="0025538B">
              <w:rPr>
                <w:b/>
                <w:bCs/>
                <w:sz w:val="22"/>
              </w:rPr>
              <w:br/>
            </w:r>
            <w:r w:rsidRPr="0025538B">
              <w:rPr>
                <w:b/>
                <w:bCs/>
                <w:sz w:val="22"/>
              </w:rPr>
              <w:t>Receivables</w:t>
            </w:r>
          </w:p>
        </w:tc>
        <w:tc>
          <w:tcPr>
            <w:tcW w:w="1562" w:type="dxa"/>
            <w:tcBorders>
              <w:top w:val="nil"/>
              <w:left w:val="nil"/>
              <w:bottom w:val="nil"/>
              <w:right w:val="nil"/>
            </w:tcBorders>
            <w:vAlign w:val="bottom"/>
          </w:tcPr>
          <w:p w:rsidR="00CA14BE" w:rsidRPr="0025538B"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25538B">
              <w:rPr>
                <w:b/>
                <w:bCs/>
                <w:sz w:val="22"/>
              </w:rPr>
              <w:t>Unearned</w:t>
            </w:r>
            <w:r w:rsidR="00744A72" w:rsidRPr="0025538B">
              <w:rPr>
                <w:b/>
                <w:bCs/>
                <w:sz w:val="22"/>
              </w:rPr>
              <w:br/>
            </w:r>
            <w:r w:rsidRPr="0025538B">
              <w:rPr>
                <w:b/>
                <w:bCs/>
                <w:sz w:val="22"/>
              </w:rPr>
              <w:t>Lease Income</w:t>
            </w:r>
          </w:p>
        </w:tc>
        <w:tc>
          <w:tcPr>
            <w:tcW w:w="1450" w:type="dxa"/>
            <w:tcBorders>
              <w:top w:val="nil"/>
              <w:left w:val="nil"/>
              <w:bottom w:val="nil"/>
              <w:right w:val="nil"/>
            </w:tcBorders>
            <w:vAlign w:val="bottom"/>
          </w:tcPr>
          <w:p w:rsidR="00CA14BE" w:rsidRPr="0025538B"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25538B">
              <w:rPr>
                <w:b/>
                <w:bCs/>
                <w:sz w:val="22"/>
              </w:rPr>
              <w:t>Net Lease</w:t>
            </w:r>
            <w:r w:rsidR="00744A72" w:rsidRPr="0025538B">
              <w:rPr>
                <w:b/>
                <w:bCs/>
                <w:sz w:val="22"/>
              </w:rPr>
              <w:br/>
            </w:r>
            <w:r w:rsidRPr="0025538B">
              <w:rPr>
                <w:b/>
                <w:bCs/>
                <w:sz w:val="22"/>
              </w:rPr>
              <w:t>Receivables</w:t>
            </w:r>
          </w:p>
        </w:tc>
      </w:tr>
      <w:tr w:rsidR="001D1B4A" w:rsidRPr="0053635E" w:rsidTr="009064E7">
        <w:trPr>
          <w:cantSplit/>
          <w:jc w:val="center"/>
        </w:trPr>
        <w:tc>
          <w:tcPr>
            <w:tcW w:w="4226" w:type="dxa"/>
            <w:tcBorders>
              <w:top w:val="nil"/>
              <w:left w:val="nil"/>
              <w:bottom w:val="nil"/>
              <w:right w:val="nil"/>
            </w:tcBorders>
          </w:tcPr>
          <w:p w:rsidR="001D1B4A" w:rsidRPr="0025538B" w:rsidRDefault="001D1B4A" w:rsidP="0025538B">
            <w:pPr>
              <w:widowControl/>
              <w:suppressAutoHyphens/>
              <w:ind w:left="200" w:hanging="200"/>
              <w:rPr>
                <w:sz w:val="22"/>
              </w:rPr>
            </w:pPr>
            <w:r w:rsidRPr="0025538B">
              <w:rPr>
                <w:sz w:val="22"/>
              </w:rPr>
              <w:t>201</w:t>
            </w:r>
            <w:r w:rsidR="0025538B" w:rsidRPr="0025538B">
              <w:rPr>
                <w:sz w:val="22"/>
              </w:rPr>
              <w:t>4</w:t>
            </w:r>
            <w:r w:rsidRPr="0025538B">
              <w:rPr>
                <w:sz w:val="22"/>
              </w:rPr>
              <w:tab/>
            </w:r>
          </w:p>
        </w:tc>
        <w:tc>
          <w:tcPr>
            <w:tcW w:w="1450" w:type="dxa"/>
            <w:tcBorders>
              <w:top w:val="nil"/>
              <w:left w:val="nil"/>
              <w:bottom w:val="nil"/>
              <w:right w:val="nil"/>
            </w:tcBorders>
            <w:vAlign w:val="bottom"/>
          </w:tcPr>
          <w:p w:rsidR="001D1B4A" w:rsidRPr="00EB1D52" w:rsidRDefault="001D1B4A" w:rsidP="00EB1D5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B1D52">
              <w:rPr>
                <w:sz w:val="22"/>
              </w:rPr>
              <w:t>$</w:t>
            </w:r>
            <w:r w:rsidR="00346F0A" w:rsidRPr="00EB1D52">
              <w:rPr>
                <w:sz w:val="22"/>
              </w:rPr>
              <w:t xml:space="preserve">            </w:t>
            </w:r>
            <w:r w:rsidR="00EB1D52" w:rsidRPr="00EB1D52">
              <w:rPr>
                <w:sz w:val="22"/>
              </w:rPr>
              <w:t>6</w:t>
            </w:r>
            <w:r w:rsidR="006E3E35" w:rsidRPr="00EB1D52">
              <w:rPr>
                <w:sz w:val="22"/>
              </w:rPr>
              <w:t>,</w:t>
            </w:r>
            <w:r w:rsidR="00EB1D52" w:rsidRPr="00EB1D52">
              <w:rPr>
                <w:sz w:val="22"/>
              </w:rPr>
              <w:t>992</w:t>
            </w:r>
          </w:p>
        </w:tc>
        <w:tc>
          <w:tcPr>
            <w:tcW w:w="1562" w:type="dxa"/>
            <w:tcBorders>
              <w:top w:val="nil"/>
              <w:left w:val="nil"/>
              <w:bottom w:val="nil"/>
              <w:right w:val="nil"/>
            </w:tcBorders>
            <w:vAlign w:val="bottom"/>
          </w:tcPr>
          <w:p w:rsidR="001D1B4A" w:rsidRPr="000C1525" w:rsidRDefault="001D1B4A" w:rsidP="000C152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C1525">
              <w:rPr>
                <w:sz w:val="22"/>
              </w:rPr>
              <w:t>$</w:t>
            </w:r>
            <w:r w:rsidR="00FE4DF7" w:rsidRPr="000C1525">
              <w:rPr>
                <w:sz w:val="22"/>
              </w:rPr>
              <w:t xml:space="preserve">  </w:t>
            </w:r>
            <w:r w:rsidR="00346F0A" w:rsidRPr="000C1525">
              <w:rPr>
                <w:sz w:val="22"/>
              </w:rPr>
              <w:t xml:space="preserve"> </w:t>
            </w:r>
            <w:r w:rsidR="006A249F" w:rsidRPr="000C1525">
              <w:rPr>
                <w:sz w:val="22"/>
              </w:rPr>
              <w:t xml:space="preserve"> </w:t>
            </w:r>
            <w:r w:rsidR="000226CB" w:rsidRPr="000C1525">
              <w:rPr>
                <w:sz w:val="22"/>
              </w:rPr>
              <w:t xml:space="preserve"> </w:t>
            </w:r>
            <w:r w:rsidR="00346F0A" w:rsidRPr="000C1525">
              <w:rPr>
                <w:sz w:val="22"/>
              </w:rPr>
              <w:t xml:space="preserve">      </w:t>
            </w:r>
            <w:r w:rsidR="005952FC" w:rsidRPr="000C1525">
              <w:rPr>
                <w:sz w:val="22"/>
              </w:rPr>
              <w:t xml:space="preserve">  </w:t>
            </w:r>
            <w:r w:rsidR="00346F0A" w:rsidRPr="000C1525">
              <w:rPr>
                <w:sz w:val="22"/>
              </w:rPr>
              <w:t xml:space="preserve"> </w:t>
            </w:r>
            <w:r w:rsidR="000C1525" w:rsidRPr="000C1525">
              <w:rPr>
                <w:sz w:val="22"/>
              </w:rPr>
              <w:t>1,514</w:t>
            </w:r>
          </w:p>
        </w:tc>
        <w:tc>
          <w:tcPr>
            <w:tcW w:w="1450" w:type="dxa"/>
            <w:tcBorders>
              <w:top w:val="nil"/>
              <w:left w:val="nil"/>
              <w:bottom w:val="nil"/>
              <w:right w:val="nil"/>
            </w:tcBorders>
            <w:vAlign w:val="bottom"/>
          </w:tcPr>
          <w:p w:rsidR="001D1B4A" w:rsidRPr="000C1525" w:rsidRDefault="001D1B4A" w:rsidP="000C152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C1525">
              <w:rPr>
                <w:sz w:val="22"/>
              </w:rPr>
              <w:t>$</w:t>
            </w:r>
            <w:r w:rsidR="000226CB" w:rsidRPr="000C1525">
              <w:rPr>
                <w:sz w:val="22"/>
              </w:rPr>
              <w:t xml:space="preserve">            </w:t>
            </w:r>
            <w:r w:rsidR="000C1525" w:rsidRPr="000C1525">
              <w:rPr>
                <w:sz w:val="22"/>
              </w:rPr>
              <w:t>5</w:t>
            </w:r>
            <w:r w:rsidR="0059484C" w:rsidRPr="000C1525">
              <w:rPr>
                <w:sz w:val="22"/>
              </w:rPr>
              <w:t>,</w:t>
            </w:r>
            <w:r w:rsidR="000C1525" w:rsidRPr="000C1525">
              <w:rPr>
                <w:sz w:val="22"/>
              </w:rPr>
              <w:t>478</w:t>
            </w:r>
          </w:p>
        </w:tc>
      </w:tr>
      <w:tr w:rsidR="001D1B4A" w:rsidRPr="0053635E" w:rsidTr="009064E7">
        <w:trPr>
          <w:cantSplit/>
          <w:jc w:val="center"/>
        </w:trPr>
        <w:tc>
          <w:tcPr>
            <w:tcW w:w="4226" w:type="dxa"/>
            <w:tcBorders>
              <w:top w:val="nil"/>
              <w:left w:val="nil"/>
              <w:bottom w:val="nil"/>
              <w:right w:val="nil"/>
            </w:tcBorders>
          </w:tcPr>
          <w:p w:rsidR="001D1B4A" w:rsidRPr="0025538B" w:rsidRDefault="001D1B4A" w:rsidP="0025538B">
            <w:pPr>
              <w:widowControl/>
              <w:suppressAutoHyphens/>
              <w:ind w:left="200" w:hanging="200"/>
              <w:rPr>
                <w:sz w:val="22"/>
              </w:rPr>
            </w:pPr>
            <w:r w:rsidRPr="0025538B">
              <w:rPr>
                <w:sz w:val="22"/>
              </w:rPr>
              <w:t>201</w:t>
            </w:r>
            <w:r w:rsidR="0025538B" w:rsidRPr="0025538B">
              <w:rPr>
                <w:sz w:val="22"/>
              </w:rPr>
              <w:t>5</w:t>
            </w:r>
            <w:r w:rsidRPr="0025538B">
              <w:rPr>
                <w:sz w:val="22"/>
              </w:rPr>
              <w:tab/>
            </w:r>
            <w:r w:rsidRPr="0025538B">
              <w:rPr>
                <w:sz w:val="22"/>
              </w:rPr>
              <w:tab/>
            </w:r>
          </w:p>
        </w:tc>
        <w:tc>
          <w:tcPr>
            <w:tcW w:w="1450" w:type="dxa"/>
            <w:tcBorders>
              <w:top w:val="nil"/>
              <w:left w:val="nil"/>
              <w:bottom w:val="nil"/>
              <w:right w:val="nil"/>
            </w:tcBorders>
            <w:vAlign w:val="bottom"/>
          </w:tcPr>
          <w:p w:rsidR="001D1B4A" w:rsidRPr="00EB1D52" w:rsidRDefault="00EB1D52" w:rsidP="00EB1D5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B1D52">
              <w:rPr>
                <w:sz w:val="22"/>
              </w:rPr>
              <w:t>4</w:t>
            </w:r>
            <w:r w:rsidR="001D1B4A" w:rsidRPr="00EB1D52">
              <w:rPr>
                <w:sz w:val="22"/>
              </w:rPr>
              <w:t>,</w:t>
            </w:r>
            <w:r w:rsidRPr="00EB1D52">
              <w:rPr>
                <w:sz w:val="22"/>
              </w:rPr>
              <w:t>704</w:t>
            </w:r>
          </w:p>
        </w:tc>
        <w:tc>
          <w:tcPr>
            <w:tcW w:w="1562" w:type="dxa"/>
            <w:tcBorders>
              <w:top w:val="nil"/>
              <w:left w:val="nil"/>
              <w:bottom w:val="nil"/>
              <w:right w:val="nil"/>
            </w:tcBorders>
            <w:vAlign w:val="bottom"/>
          </w:tcPr>
          <w:p w:rsidR="001D1B4A" w:rsidRPr="000C1525" w:rsidRDefault="000C1525" w:rsidP="000C152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C1525">
              <w:rPr>
                <w:sz w:val="22"/>
              </w:rPr>
              <w:t>1</w:t>
            </w:r>
            <w:r w:rsidR="0059484C" w:rsidRPr="000C1525">
              <w:rPr>
                <w:sz w:val="22"/>
              </w:rPr>
              <w:t>,</w:t>
            </w:r>
            <w:r w:rsidRPr="000C1525">
              <w:rPr>
                <w:sz w:val="22"/>
              </w:rPr>
              <w:t>497</w:t>
            </w:r>
          </w:p>
        </w:tc>
        <w:tc>
          <w:tcPr>
            <w:tcW w:w="1450" w:type="dxa"/>
            <w:tcBorders>
              <w:top w:val="nil"/>
              <w:left w:val="nil"/>
              <w:bottom w:val="nil"/>
              <w:right w:val="nil"/>
            </w:tcBorders>
            <w:vAlign w:val="bottom"/>
          </w:tcPr>
          <w:p w:rsidR="001D1B4A" w:rsidRPr="000C1525" w:rsidRDefault="000C1525" w:rsidP="000C152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C1525">
              <w:rPr>
                <w:sz w:val="22"/>
              </w:rPr>
              <w:t>3</w:t>
            </w:r>
            <w:r w:rsidR="001D1B4A" w:rsidRPr="000C1525">
              <w:rPr>
                <w:sz w:val="22"/>
              </w:rPr>
              <w:t>,</w:t>
            </w:r>
            <w:r w:rsidRPr="000C1525">
              <w:rPr>
                <w:sz w:val="22"/>
              </w:rPr>
              <w:t>207</w:t>
            </w:r>
          </w:p>
        </w:tc>
      </w:tr>
      <w:tr w:rsidR="001D1B4A" w:rsidRPr="0053635E" w:rsidTr="009064E7">
        <w:trPr>
          <w:cantSplit/>
          <w:jc w:val="center"/>
        </w:trPr>
        <w:tc>
          <w:tcPr>
            <w:tcW w:w="4226" w:type="dxa"/>
            <w:tcBorders>
              <w:top w:val="nil"/>
              <w:left w:val="nil"/>
              <w:bottom w:val="nil"/>
              <w:right w:val="nil"/>
            </w:tcBorders>
          </w:tcPr>
          <w:p w:rsidR="001D1B4A" w:rsidRPr="0025538B" w:rsidRDefault="001D1B4A" w:rsidP="0025538B">
            <w:pPr>
              <w:widowControl/>
              <w:suppressAutoHyphens/>
              <w:ind w:left="200" w:hanging="200"/>
              <w:rPr>
                <w:sz w:val="22"/>
              </w:rPr>
            </w:pPr>
            <w:r w:rsidRPr="0025538B">
              <w:rPr>
                <w:sz w:val="22"/>
              </w:rPr>
              <w:t>201</w:t>
            </w:r>
            <w:r w:rsidR="0025538B" w:rsidRPr="0025538B">
              <w:rPr>
                <w:sz w:val="22"/>
              </w:rPr>
              <w:t>6</w:t>
            </w:r>
            <w:r w:rsidRPr="0025538B">
              <w:rPr>
                <w:sz w:val="22"/>
              </w:rPr>
              <w:tab/>
            </w:r>
            <w:r w:rsidRPr="0025538B">
              <w:rPr>
                <w:sz w:val="22"/>
              </w:rPr>
              <w:tab/>
            </w:r>
          </w:p>
        </w:tc>
        <w:tc>
          <w:tcPr>
            <w:tcW w:w="1450" w:type="dxa"/>
            <w:tcBorders>
              <w:top w:val="nil"/>
              <w:left w:val="nil"/>
              <w:bottom w:val="nil"/>
              <w:right w:val="nil"/>
            </w:tcBorders>
            <w:vAlign w:val="bottom"/>
          </w:tcPr>
          <w:p w:rsidR="001D1B4A" w:rsidRPr="00EB1D52" w:rsidRDefault="00EB1D52" w:rsidP="00EB1D5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B1D52">
              <w:rPr>
                <w:sz w:val="22"/>
              </w:rPr>
              <w:t>3</w:t>
            </w:r>
            <w:r w:rsidR="001D1B4A" w:rsidRPr="00EB1D52">
              <w:rPr>
                <w:sz w:val="22"/>
              </w:rPr>
              <w:t>,</w:t>
            </w:r>
            <w:r w:rsidRPr="00EB1D52">
              <w:rPr>
                <w:sz w:val="22"/>
              </w:rPr>
              <w:t>840</w:t>
            </w:r>
          </w:p>
        </w:tc>
        <w:tc>
          <w:tcPr>
            <w:tcW w:w="1562" w:type="dxa"/>
            <w:tcBorders>
              <w:top w:val="nil"/>
              <w:left w:val="nil"/>
              <w:bottom w:val="nil"/>
              <w:right w:val="nil"/>
            </w:tcBorders>
            <w:vAlign w:val="bottom"/>
          </w:tcPr>
          <w:p w:rsidR="001D1B4A" w:rsidRPr="000C1525" w:rsidRDefault="00C91C11" w:rsidP="000C152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C1525">
              <w:rPr>
                <w:sz w:val="22"/>
              </w:rPr>
              <w:t>1</w:t>
            </w:r>
            <w:r w:rsidR="001D1B4A" w:rsidRPr="000C1525">
              <w:rPr>
                <w:sz w:val="22"/>
              </w:rPr>
              <w:t>,</w:t>
            </w:r>
            <w:r w:rsidR="000C1525" w:rsidRPr="000C1525">
              <w:rPr>
                <w:sz w:val="22"/>
              </w:rPr>
              <w:t>158</w:t>
            </w:r>
          </w:p>
        </w:tc>
        <w:tc>
          <w:tcPr>
            <w:tcW w:w="1450" w:type="dxa"/>
            <w:tcBorders>
              <w:top w:val="nil"/>
              <w:left w:val="nil"/>
              <w:bottom w:val="nil"/>
              <w:right w:val="nil"/>
            </w:tcBorders>
            <w:vAlign w:val="bottom"/>
          </w:tcPr>
          <w:p w:rsidR="001D1B4A" w:rsidRPr="000C1525" w:rsidRDefault="000C1525" w:rsidP="000C152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C1525">
              <w:rPr>
                <w:sz w:val="22"/>
              </w:rPr>
              <w:t>2</w:t>
            </w:r>
            <w:r w:rsidR="001D1B4A" w:rsidRPr="000C1525">
              <w:rPr>
                <w:sz w:val="22"/>
              </w:rPr>
              <w:t>,</w:t>
            </w:r>
            <w:r w:rsidRPr="000C1525">
              <w:rPr>
                <w:sz w:val="22"/>
              </w:rPr>
              <w:t>682</w:t>
            </w:r>
          </w:p>
        </w:tc>
      </w:tr>
      <w:tr w:rsidR="001D1B4A" w:rsidRPr="0053635E" w:rsidTr="009064E7">
        <w:trPr>
          <w:cantSplit/>
          <w:jc w:val="center"/>
        </w:trPr>
        <w:tc>
          <w:tcPr>
            <w:tcW w:w="4226" w:type="dxa"/>
            <w:tcBorders>
              <w:top w:val="nil"/>
              <w:left w:val="nil"/>
              <w:bottom w:val="nil"/>
              <w:right w:val="nil"/>
            </w:tcBorders>
          </w:tcPr>
          <w:p w:rsidR="001D1B4A" w:rsidRPr="0025538B" w:rsidRDefault="001D1B4A" w:rsidP="0025538B">
            <w:pPr>
              <w:widowControl/>
              <w:suppressAutoHyphens/>
              <w:ind w:left="200" w:hanging="200"/>
              <w:rPr>
                <w:sz w:val="22"/>
              </w:rPr>
            </w:pPr>
            <w:r w:rsidRPr="0025538B">
              <w:rPr>
                <w:sz w:val="22"/>
              </w:rPr>
              <w:t>201</w:t>
            </w:r>
            <w:r w:rsidR="0025538B" w:rsidRPr="0025538B">
              <w:rPr>
                <w:sz w:val="22"/>
              </w:rPr>
              <w:t>7</w:t>
            </w:r>
            <w:r w:rsidRPr="0025538B">
              <w:rPr>
                <w:sz w:val="22"/>
              </w:rPr>
              <w:tab/>
            </w:r>
          </w:p>
        </w:tc>
        <w:tc>
          <w:tcPr>
            <w:tcW w:w="1450" w:type="dxa"/>
            <w:tcBorders>
              <w:top w:val="nil"/>
              <w:left w:val="nil"/>
              <w:bottom w:val="nil"/>
              <w:right w:val="nil"/>
            </w:tcBorders>
            <w:vAlign w:val="bottom"/>
          </w:tcPr>
          <w:p w:rsidR="001D1B4A" w:rsidRPr="00EB1D52" w:rsidRDefault="00EB1D52" w:rsidP="00EB1D5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B1D52">
              <w:rPr>
                <w:sz w:val="22"/>
              </w:rPr>
              <w:t>10</w:t>
            </w:r>
            <w:r w:rsidR="001D1B4A" w:rsidRPr="00EB1D52">
              <w:rPr>
                <w:sz w:val="22"/>
              </w:rPr>
              <w:t>,</w:t>
            </w:r>
            <w:r w:rsidRPr="00EB1D52">
              <w:rPr>
                <w:sz w:val="22"/>
              </w:rPr>
              <w:t>409</w:t>
            </w:r>
          </w:p>
        </w:tc>
        <w:tc>
          <w:tcPr>
            <w:tcW w:w="1562" w:type="dxa"/>
            <w:tcBorders>
              <w:top w:val="nil"/>
              <w:left w:val="nil"/>
              <w:bottom w:val="nil"/>
              <w:right w:val="nil"/>
            </w:tcBorders>
            <w:vAlign w:val="bottom"/>
          </w:tcPr>
          <w:p w:rsidR="001D1B4A" w:rsidRPr="000C1525" w:rsidRDefault="000C1525" w:rsidP="000C152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C1525">
              <w:rPr>
                <w:sz w:val="22"/>
              </w:rPr>
              <w:t>440</w:t>
            </w:r>
          </w:p>
        </w:tc>
        <w:tc>
          <w:tcPr>
            <w:tcW w:w="1450" w:type="dxa"/>
            <w:tcBorders>
              <w:top w:val="nil"/>
              <w:left w:val="nil"/>
              <w:bottom w:val="nil"/>
              <w:right w:val="nil"/>
            </w:tcBorders>
            <w:vAlign w:val="bottom"/>
          </w:tcPr>
          <w:p w:rsidR="001D1B4A" w:rsidRPr="000C1525" w:rsidRDefault="000C1525" w:rsidP="000C152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C1525">
              <w:rPr>
                <w:sz w:val="22"/>
              </w:rPr>
              <w:t>9</w:t>
            </w:r>
            <w:r w:rsidR="001D1B4A" w:rsidRPr="000C1525">
              <w:rPr>
                <w:sz w:val="22"/>
              </w:rPr>
              <w:t>,</w:t>
            </w:r>
            <w:r w:rsidRPr="000C1525">
              <w:rPr>
                <w:sz w:val="22"/>
              </w:rPr>
              <w:t>969</w:t>
            </w:r>
          </w:p>
        </w:tc>
      </w:tr>
      <w:tr w:rsidR="001D1B4A" w:rsidRPr="0053635E" w:rsidTr="009064E7">
        <w:trPr>
          <w:cantSplit/>
          <w:jc w:val="center"/>
        </w:trPr>
        <w:tc>
          <w:tcPr>
            <w:tcW w:w="4226" w:type="dxa"/>
            <w:tcBorders>
              <w:top w:val="nil"/>
              <w:left w:val="nil"/>
              <w:bottom w:val="nil"/>
              <w:right w:val="nil"/>
            </w:tcBorders>
          </w:tcPr>
          <w:p w:rsidR="001D1B4A" w:rsidRPr="0025538B" w:rsidRDefault="001D1B4A" w:rsidP="0025538B">
            <w:pPr>
              <w:widowControl/>
              <w:suppressAutoHyphens/>
              <w:ind w:left="200" w:hanging="200"/>
              <w:rPr>
                <w:sz w:val="22"/>
              </w:rPr>
            </w:pPr>
            <w:r w:rsidRPr="0025538B">
              <w:rPr>
                <w:sz w:val="22"/>
              </w:rPr>
              <w:t>201</w:t>
            </w:r>
            <w:r w:rsidR="0025538B" w:rsidRPr="0025538B">
              <w:rPr>
                <w:sz w:val="22"/>
              </w:rPr>
              <w:t>8</w:t>
            </w:r>
            <w:r w:rsidRPr="0025538B">
              <w:rPr>
                <w:sz w:val="22"/>
              </w:rPr>
              <w:tab/>
            </w:r>
            <w:r w:rsidRPr="0025538B">
              <w:rPr>
                <w:sz w:val="22"/>
              </w:rPr>
              <w:tab/>
            </w:r>
          </w:p>
        </w:tc>
        <w:tc>
          <w:tcPr>
            <w:tcW w:w="1450" w:type="dxa"/>
            <w:tcBorders>
              <w:top w:val="nil"/>
              <w:left w:val="nil"/>
              <w:bottom w:val="nil"/>
              <w:right w:val="nil"/>
            </w:tcBorders>
            <w:vAlign w:val="bottom"/>
          </w:tcPr>
          <w:p w:rsidR="001D1B4A" w:rsidRPr="00EB1D52" w:rsidRDefault="00EB1D52" w:rsidP="00EB1D5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B1D52">
              <w:rPr>
                <w:sz w:val="22"/>
              </w:rPr>
              <w:t>151</w:t>
            </w:r>
          </w:p>
        </w:tc>
        <w:tc>
          <w:tcPr>
            <w:tcW w:w="1562" w:type="dxa"/>
            <w:tcBorders>
              <w:top w:val="nil"/>
              <w:left w:val="nil"/>
              <w:bottom w:val="nil"/>
              <w:right w:val="nil"/>
            </w:tcBorders>
            <w:vAlign w:val="bottom"/>
          </w:tcPr>
          <w:p w:rsidR="001D1B4A" w:rsidRPr="000C1525" w:rsidRDefault="000C1525" w:rsidP="000C152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C1525">
              <w:rPr>
                <w:sz w:val="22"/>
              </w:rPr>
              <w:t>42</w:t>
            </w:r>
          </w:p>
        </w:tc>
        <w:tc>
          <w:tcPr>
            <w:tcW w:w="1450" w:type="dxa"/>
            <w:tcBorders>
              <w:top w:val="nil"/>
              <w:left w:val="nil"/>
              <w:bottom w:val="nil"/>
              <w:right w:val="nil"/>
            </w:tcBorders>
            <w:vAlign w:val="bottom"/>
          </w:tcPr>
          <w:p w:rsidR="001D1B4A" w:rsidRPr="000C1525" w:rsidRDefault="00C91C11" w:rsidP="000C152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C1525">
              <w:rPr>
                <w:sz w:val="22"/>
              </w:rPr>
              <w:t>1</w:t>
            </w:r>
            <w:r w:rsidR="000C1525" w:rsidRPr="000C1525">
              <w:rPr>
                <w:sz w:val="22"/>
              </w:rPr>
              <w:t>09</w:t>
            </w:r>
          </w:p>
        </w:tc>
      </w:tr>
      <w:tr w:rsidR="001D1B4A" w:rsidRPr="0053635E" w:rsidTr="009064E7">
        <w:trPr>
          <w:cantSplit/>
          <w:jc w:val="center"/>
        </w:trPr>
        <w:tc>
          <w:tcPr>
            <w:tcW w:w="4226" w:type="dxa"/>
            <w:tcBorders>
              <w:top w:val="nil"/>
              <w:left w:val="nil"/>
              <w:bottom w:val="nil"/>
              <w:right w:val="nil"/>
            </w:tcBorders>
          </w:tcPr>
          <w:p w:rsidR="001D1B4A" w:rsidRPr="0025538B" w:rsidRDefault="001D1B4A" w:rsidP="004F6412">
            <w:pPr>
              <w:widowControl/>
              <w:suppressAutoHyphens/>
              <w:spacing w:after="20"/>
              <w:ind w:left="200" w:hanging="200"/>
              <w:rPr>
                <w:sz w:val="22"/>
              </w:rPr>
            </w:pPr>
            <w:r w:rsidRPr="0025538B">
              <w:rPr>
                <w:sz w:val="22"/>
              </w:rPr>
              <w:t>Thereafter</w:t>
            </w:r>
            <w:r w:rsidRPr="0025538B">
              <w:rPr>
                <w:sz w:val="22"/>
              </w:rPr>
              <w:tab/>
            </w:r>
          </w:p>
        </w:tc>
        <w:tc>
          <w:tcPr>
            <w:tcW w:w="1450" w:type="dxa"/>
            <w:tcBorders>
              <w:top w:val="nil"/>
              <w:left w:val="nil"/>
              <w:bottom w:val="nil"/>
              <w:right w:val="nil"/>
            </w:tcBorders>
            <w:vAlign w:val="bottom"/>
          </w:tcPr>
          <w:p w:rsidR="001D1B4A" w:rsidRPr="00EB1D52" w:rsidRDefault="00EB1D52" w:rsidP="00EB1D5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EB1D52">
              <w:rPr>
                <w:sz w:val="22"/>
              </w:rPr>
              <w:t>322</w:t>
            </w:r>
          </w:p>
        </w:tc>
        <w:tc>
          <w:tcPr>
            <w:tcW w:w="1562" w:type="dxa"/>
            <w:tcBorders>
              <w:top w:val="nil"/>
              <w:left w:val="nil"/>
              <w:bottom w:val="nil"/>
              <w:right w:val="nil"/>
            </w:tcBorders>
            <w:vAlign w:val="bottom"/>
          </w:tcPr>
          <w:p w:rsidR="001D1B4A" w:rsidRPr="000C1525" w:rsidRDefault="000C1525" w:rsidP="000C152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0C1525">
              <w:rPr>
                <w:sz w:val="22"/>
              </w:rPr>
              <w:t>99</w:t>
            </w:r>
          </w:p>
        </w:tc>
        <w:tc>
          <w:tcPr>
            <w:tcW w:w="1450" w:type="dxa"/>
            <w:tcBorders>
              <w:top w:val="nil"/>
              <w:left w:val="nil"/>
              <w:bottom w:val="nil"/>
              <w:right w:val="nil"/>
            </w:tcBorders>
            <w:vAlign w:val="bottom"/>
          </w:tcPr>
          <w:p w:rsidR="001D1B4A" w:rsidRPr="000C1525" w:rsidRDefault="005952FC" w:rsidP="000C152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0C1525">
              <w:rPr>
                <w:sz w:val="22"/>
              </w:rPr>
              <w:t>2</w:t>
            </w:r>
            <w:r w:rsidR="000C1525" w:rsidRPr="000C1525">
              <w:rPr>
                <w:sz w:val="22"/>
              </w:rPr>
              <w:t>23</w:t>
            </w:r>
          </w:p>
        </w:tc>
      </w:tr>
      <w:tr w:rsidR="00CA14BE" w:rsidRPr="0053635E" w:rsidTr="009064E7">
        <w:trPr>
          <w:cantSplit/>
          <w:jc w:val="center"/>
        </w:trPr>
        <w:tc>
          <w:tcPr>
            <w:tcW w:w="4226" w:type="dxa"/>
            <w:tcBorders>
              <w:top w:val="nil"/>
              <w:left w:val="nil"/>
              <w:bottom w:val="nil"/>
              <w:right w:val="nil"/>
            </w:tcBorders>
          </w:tcPr>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ind w:left="200" w:hanging="200"/>
              <w:rPr>
                <w:sz w:val="22"/>
                <w:highlight w:val="yellow"/>
              </w:rPr>
            </w:pPr>
          </w:p>
        </w:tc>
        <w:tc>
          <w:tcPr>
            <w:tcW w:w="1450" w:type="dxa"/>
            <w:tcBorders>
              <w:top w:val="nil"/>
              <w:left w:val="nil"/>
              <w:bottom w:val="nil"/>
              <w:right w:val="nil"/>
            </w:tcBorders>
            <w:vAlign w:val="bottom"/>
          </w:tcPr>
          <w:p w:rsidR="00CA14BE" w:rsidRPr="00EB1D52" w:rsidRDefault="00CA14BE" w:rsidP="00EB1D52">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EB1D52">
              <w:rPr>
                <w:sz w:val="22"/>
              </w:rPr>
              <w:t>$</w:t>
            </w:r>
            <w:r w:rsidR="00FE4DF7" w:rsidRPr="00EB1D52">
              <w:rPr>
                <w:sz w:val="22"/>
              </w:rPr>
              <w:t xml:space="preserve">  </w:t>
            </w:r>
            <w:r w:rsidR="00346F0A" w:rsidRPr="00EB1D52">
              <w:rPr>
                <w:sz w:val="22"/>
              </w:rPr>
              <w:t xml:space="preserve">        </w:t>
            </w:r>
            <w:r w:rsidR="00EB1D52" w:rsidRPr="00EB1D52">
              <w:rPr>
                <w:sz w:val="22"/>
              </w:rPr>
              <w:t>26</w:t>
            </w:r>
            <w:r w:rsidRPr="00EB1D52">
              <w:rPr>
                <w:sz w:val="22"/>
              </w:rPr>
              <w:t>,</w:t>
            </w:r>
            <w:r w:rsidR="00EB1D52" w:rsidRPr="00EB1D52">
              <w:rPr>
                <w:sz w:val="22"/>
              </w:rPr>
              <w:t>418</w:t>
            </w:r>
          </w:p>
        </w:tc>
        <w:tc>
          <w:tcPr>
            <w:tcW w:w="1562" w:type="dxa"/>
            <w:tcBorders>
              <w:top w:val="nil"/>
              <w:left w:val="nil"/>
              <w:bottom w:val="nil"/>
              <w:right w:val="nil"/>
            </w:tcBorders>
            <w:vAlign w:val="bottom"/>
          </w:tcPr>
          <w:p w:rsidR="00CA14BE" w:rsidRPr="00EB1D52" w:rsidRDefault="00CA14BE" w:rsidP="000C1525">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EB1D52">
              <w:rPr>
                <w:sz w:val="22"/>
              </w:rPr>
              <w:t>$</w:t>
            </w:r>
            <w:r w:rsidR="000226CB" w:rsidRPr="00EB1D52">
              <w:rPr>
                <w:sz w:val="22"/>
              </w:rPr>
              <w:t xml:space="preserve">     </w:t>
            </w:r>
            <w:r w:rsidR="006A249F" w:rsidRPr="00EB1D52">
              <w:rPr>
                <w:sz w:val="22"/>
              </w:rPr>
              <w:t xml:space="preserve">  </w:t>
            </w:r>
            <w:r w:rsidR="000226CB" w:rsidRPr="00EB1D52">
              <w:rPr>
                <w:sz w:val="22"/>
              </w:rPr>
              <w:t xml:space="preserve">       </w:t>
            </w:r>
            <w:r w:rsidR="000C1525" w:rsidRPr="00EB1D52">
              <w:rPr>
                <w:sz w:val="22"/>
              </w:rPr>
              <w:t>4</w:t>
            </w:r>
            <w:r w:rsidRPr="00EB1D52">
              <w:rPr>
                <w:sz w:val="22"/>
              </w:rPr>
              <w:t>,</w:t>
            </w:r>
            <w:r w:rsidR="000C1525" w:rsidRPr="00EB1D52">
              <w:rPr>
                <w:sz w:val="22"/>
              </w:rPr>
              <w:t>750</w:t>
            </w:r>
          </w:p>
        </w:tc>
        <w:tc>
          <w:tcPr>
            <w:tcW w:w="1450" w:type="dxa"/>
            <w:tcBorders>
              <w:top w:val="nil"/>
              <w:left w:val="nil"/>
              <w:bottom w:val="nil"/>
              <w:right w:val="nil"/>
            </w:tcBorders>
            <w:vAlign w:val="bottom"/>
          </w:tcPr>
          <w:p w:rsidR="00CA14BE" w:rsidRPr="000C1525" w:rsidRDefault="00CA14BE" w:rsidP="000C1525">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0C1525">
              <w:rPr>
                <w:sz w:val="22"/>
              </w:rPr>
              <w:t>$</w:t>
            </w:r>
            <w:r w:rsidR="000226CB" w:rsidRPr="000C1525">
              <w:rPr>
                <w:sz w:val="22"/>
              </w:rPr>
              <w:t xml:space="preserve">          </w:t>
            </w:r>
            <w:r w:rsidR="00947E1C" w:rsidRPr="000C1525">
              <w:rPr>
                <w:sz w:val="22"/>
              </w:rPr>
              <w:t>2</w:t>
            </w:r>
            <w:r w:rsidR="000C1525" w:rsidRPr="000C1525">
              <w:rPr>
                <w:sz w:val="22"/>
              </w:rPr>
              <w:t>1</w:t>
            </w:r>
            <w:r w:rsidRPr="000C1525">
              <w:rPr>
                <w:sz w:val="22"/>
              </w:rPr>
              <w:t>,</w:t>
            </w:r>
            <w:r w:rsidR="000C1525" w:rsidRPr="000C1525">
              <w:rPr>
                <w:sz w:val="22"/>
              </w:rPr>
              <w:t>668</w:t>
            </w:r>
          </w:p>
        </w:tc>
      </w:tr>
    </w:tbl>
    <w:p w:rsidR="00490F8F" w:rsidRDefault="00490F8F" w:rsidP="00490F8F">
      <w:pPr>
        <w:widowControl/>
        <w:tabs>
          <w:tab w:val="left" w:pos="-720"/>
        </w:tabs>
        <w:suppressAutoHyphens/>
        <w:spacing w:after="240"/>
        <w:ind w:firstLine="720"/>
        <w:jc w:val="both"/>
        <w:rPr>
          <w:sz w:val="22"/>
        </w:rPr>
      </w:pPr>
    </w:p>
    <w:p w:rsidR="00744A72" w:rsidRPr="005C4865" w:rsidRDefault="00CA14BE" w:rsidP="00490F8F">
      <w:pPr>
        <w:widowControl/>
        <w:tabs>
          <w:tab w:val="left" w:pos="-720"/>
        </w:tabs>
        <w:suppressAutoHyphens/>
        <w:spacing w:after="240"/>
        <w:ind w:firstLine="720"/>
        <w:jc w:val="both"/>
        <w:rPr>
          <w:sz w:val="22"/>
        </w:rPr>
      </w:pPr>
      <w:r w:rsidRPr="005C4865">
        <w:rPr>
          <w:sz w:val="22"/>
        </w:rPr>
        <w:t>As of December 31, 201</w:t>
      </w:r>
      <w:r w:rsidR="005C4865" w:rsidRPr="005C4865">
        <w:rPr>
          <w:sz w:val="22"/>
        </w:rPr>
        <w:t>3</w:t>
      </w:r>
      <w:r w:rsidRPr="005C4865">
        <w:rPr>
          <w:sz w:val="22"/>
        </w:rPr>
        <w:t>, the Company had total lease receivables, unearned lease income and net lease receivables of $</w:t>
      </w:r>
      <w:r w:rsidR="005C4865" w:rsidRPr="005C4865">
        <w:rPr>
          <w:sz w:val="22"/>
        </w:rPr>
        <w:t>31</w:t>
      </w:r>
      <w:r w:rsidRPr="005C4865">
        <w:rPr>
          <w:sz w:val="22"/>
        </w:rPr>
        <w:t>,</w:t>
      </w:r>
      <w:r w:rsidR="005C4865" w:rsidRPr="005C4865">
        <w:rPr>
          <w:sz w:val="22"/>
        </w:rPr>
        <w:t>655</w:t>
      </w:r>
      <w:r w:rsidRPr="005C4865">
        <w:rPr>
          <w:sz w:val="22"/>
        </w:rPr>
        <w:t>, $</w:t>
      </w:r>
      <w:r w:rsidR="004E0B1E" w:rsidRPr="005C4865">
        <w:rPr>
          <w:sz w:val="22"/>
        </w:rPr>
        <w:t>6</w:t>
      </w:r>
      <w:r w:rsidRPr="005C4865">
        <w:rPr>
          <w:sz w:val="22"/>
        </w:rPr>
        <w:t>,</w:t>
      </w:r>
      <w:r w:rsidR="005C4865" w:rsidRPr="005C4865">
        <w:rPr>
          <w:sz w:val="22"/>
        </w:rPr>
        <w:t>629</w:t>
      </w:r>
      <w:r w:rsidRPr="005C4865">
        <w:rPr>
          <w:sz w:val="22"/>
        </w:rPr>
        <w:t xml:space="preserve"> and $</w:t>
      </w:r>
      <w:r w:rsidR="005C4865" w:rsidRPr="005C4865">
        <w:rPr>
          <w:sz w:val="22"/>
        </w:rPr>
        <w:t>25</w:t>
      </w:r>
      <w:r w:rsidRPr="005C4865">
        <w:rPr>
          <w:sz w:val="22"/>
        </w:rPr>
        <w:t>,</w:t>
      </w:r>
      <w:r w:rsidR="005C4865" w:rsidRPr="005C4865">
        <w:rPr>
          <w:sz w:val="22"/>
        </w:rPr>
        <w:t>026</w:t>
      </w:r>
      <w:r w:rsidRPr="005C4865">
        <w:rPr>
          <w:sz w:val="22"/>
        </w:rPr>
        <w:t xml:space="preserve">, respectively. </w:t>
      </w:r>
      <w:r w:rsidR="00490F8F" w:rsidRPr="004413A7">
        <w:rPr>
          <w:sz w:val="22"/>
        </w:rPr>
        <w:t xml:space="preserve"> As of March 31, 2014 and December 31, 2013, the Company had guaranteed and unguaranteed residual values for leasing equipment on direct finance leases of </w:t>
      </w:r>
      <w:r w:rsidR="00490F8F" w:rsidRPr="00EB1D52">
        <w:rPr>
          <w:sz w:val="22"/>
        </w:rPr>
        <w:t>$</w:t>
      </w:r>
      <w:r w:rsidR="00EB1D52" w:rsidRPr="00EB1D52">
        <w:rPr>
          <w:sz w:val="22"/>
        </w:rPr>
        <w:t>11</w:t>
      </w:r>
      <w:r w:rsidR="00490F8F" w:rsidRPr="00EB1D52">
        <w:rPr>
          <w:sz w:val="22"/>
        </w:rPr>
        <w:t>,</w:t>
      </w:r>
      <w:r w:rsidR="00EB1D52" w:rsidRPr="00EB1D52">
        <w:rPr>
          <w:sz w:val="22"/>
        </w:rPr>
        <w:t>170</w:t>
      </w:r>
      <w:r w:rsidR="00490F8F" w:rsidRPr="00EB1D52">
        <w:rPr>
          <w:sz w:val="22"/>
        </w:rPr>
        <w:t xml:space="preserve"> and $11</w:t>
      </w:r>
      <w:r w:rsidR="00490F8F" w:rsidRPr="004413A7">
        <w:rPr>
          <w:sz w:val="22"/>
        </w:rPr>
        <w:t>,923, respectively.</w:t>
      </w:r>
      <w:r w:rsidR="00490F8F">
        <w:rPr>
          <w:sz w:val="22"/>
        </w:rPr>
        <w:t xml:space="preserve">  </w:t>
      </w:r>
      <w:r w:rsidRPr="005C4865">
        <w:rPr>
          <w:sz w:val="22"/>
        </w:rPr>
        <w:t xml:space="preserve">The unguaranteed residual values are reflected in </w:t>
      </w:r>
      <w:r w:rsidR="00744A72" w:rsidRPr="005C4865">
        <w:rPr>
          <w:sz w:val="22"/>
        </w:rPr>
        <w:t>“</w:t>
      </w:r>
      <w:r w:rsidRPr="005C4865">
        <w:rPr>
          <w:sz w:val="22"/>
        </w:rPr>
        <w:t>Total Lease Receivables</w:t>
      </w:r>
      <w:r w:rsidR="00744A72" w:rsidRPr="005C4865">
        <w:rPr>
          <w:sz w:val="22"/>
        </w:rPr>
        <w:t>”</w:t>
      </w:r>
      <w:r w:rsidRPr="005C4865">
        <w:rPr>
          <w:sz w:val="22"/>
        </w:rPr>
        <w:t xml:space="preserve"> above.</w:t>
      </w:r>
    </w:p>
    <w:p w:rsidR="004E60FD" w:rsidRDefault="00CA14BE" w:rsidP="004E60FD">
      <w:pPr>
        <w:widowControl/>
        <w:tabs>
          <w:tab w:val="left" w:pos="-720"/>
        </w:tabs>
        <w:suppressAutoHyphens/>
        <w:spacing w:after="240"/>
        <w:ind w:firstLine="720"/>
        <w:jc w:val="both"/>
        <w:rPr>
          <w:sz w:val="22"/>
        </w:rPr>
      </w:pPr>
      <w:r w:rsidRPr="006D4B21">
        <w:rPr>
          <w:sz w:val="22"/>
        </w:rPr>
        <w:t>Historically, the Company has not experienced losses related to direct finance leases and does not project future uncollectible amounts related to the principal balances receivable. If customers were to default, the Company would seek to recover the equipment securing the lease, often at fair market values in excess of the remaining receivable, and present certain claims to its insurers of default losses.</w:t>
      </w:r>
    </w:p>
    <w:p w:rsidR="00490F8F" w:rsidRPr="006D4B21" w:rsidRDefault="00490F8F" w:rsidP="004E60FD">
      <w:pPr>
        <w:widowControl/>
        <w:tabs>
          <w:tab w:val="left" w:pos="-720"/>
        </w:tabs>
        <w:suppressAutoHyphens/>
        <w:spacing w:after="240"/>
        <w:ind w:firstLine="720"/>
        <w:jc w:val="both"/>
        <w:rPr>
          <w:sz w:val="22"/>
        </w:rPr>
      </w:pPr>
    </w:p>
    <w:p w:rsidR="00CA14BE" w:rsidRPr="006D4B21" w:rsidRDefault="00E76A1C" w:rsidP="00EE2E7E">
      <w:pPr>
        <w:keepNext/>
        <w:keepLines/>
        <w:widowControl/>
        <w:tabs>
          <w:tab w:val="left" w:pos="-720"/>
          <w:tab w:val="left" w:pos="720"/>
          <w:tab w:val="left" w:pos="1440"/>
        </w:tabs>
        <w:suppressAutoHyphens/>
        <w:spacing w:after="240"/>
        <w:jc w:val="both"/>
        <w:rPr>
          <w:b/>
          <w:bCs/>
          <w:sz w:val="22"/>
        </w:rPr>
      </w:pPr>
      <w:r>
        <w:rPr>
          <w:b/>
          <w:bCs/>
          <w:sz w:val="22"/>
        </w:rPr>
        <w:lastRenderedPageBreak/>
        <w:t>3</w:t>
      </w:r>
      <w:r w:rsidR="00CA14BE" w:rsidRPr="006D4B21">
        <w:rPr>
          <w:b/>
          <w:bCs/>
          <w:sz w:val="22"/>
        </w:rPr>
        <w:t>. Leasing Equipment</w:t>
      </w:r>
    </w:p>
    <w:p w:rsidR="00744A72" w:rsidRPr="006D4B21" w:rsidRDefault="00CA14BE" w:rsidP="00EE2E7E">
      <w:pPr>
        <w:widowControl/>
        <w:tabs>
          <w:tab w:val="left" w:pos="-720"/>
        </w:tabs>
        <w:suppressAutoHyphens/>
        <w:spacing w:after="240"/>
        <w:ind w:firstLine="720"/>
        <w:jc w:val="both"/>
        <w:rPr>
          <w:sz w:val="22"/>
        </w:rPr>
      </w:pPr>
      <w:r w:rsidRPr="006D4B21">
        <w:rPr>
          <w:sz w:val="22"/>
        </w:rPr>
        <w:t>The following is a summary of leasing equipment recorded on the Consolidated Balance Sheets:</w:t>
      </w:r>
    </w:p>
    <w:tbl>
      <w:tblPr>
        <w:tblW w:w="0" w:type="auto"/>
        <w:jc w:val="center"/>
        <w:tblInd w:w="293" w:type="dxa"/>
        <w:tblLayout w:type="fixed"/>
        <w:tblCellMar>
          <w:left w:w="72" w:type="dxa"/>
          <w:right w:w="72" w:type="dxa"/>
        </w:tblCellMar>
        <w:tblLook w:val="0000" w:firstRow="0" w:lastRow="0" w:firstColumn="0" w:lastColumn="0" w:noHBand="0" w:noVBand="0"/>
      </w:tblPr>
      <w:tblGrid>
        <w:gridCol w:w="5195"/>
        <w:gridCol w:w="1852"/>
        <w:gridCol w:w="1613"/>
      </w:tblGrid>
      <w:tr w:rsidR="0021527B" w:rsidRPr="006D4B21" w:rsidTr="009064E7">
        <w:trPr>
          <w:cantSplit/>
          <w:jc w:val="center"/>
        </w:trPr>
        <w:tc>
          <w:tcPr>
            <w:tcW w:w="5195" w:type="dxa"/>
            <w:tcBorders>
              <w:top w:val="nil"/>
              <w:left w:val="nil"/>
              <w:bottom w:val="nil"/>
              <w:right w:val="nil"/>
            </w:tcBorders>
          </w:tcPr>
          <w:p w:rsidR="0021527B" w:rsidRPr="006D4B21" w:rsidRDefault="0021527B" w:rsidP="00744A72">
            <w:pPr>
              <w:widowControl/>
              <w:tabs>
                <w:tab w:val="right" w:leader="dot" w:pos="6060"/>
              </w:tabs>
              <w:suppressAutoHyphens/>
              <w:ind w:left="200" w:hanging="200"/>
              <w:rPr>
                <w:sz w:val="22"/>
              </w:rPr>
            </w:pPr>
          </w:p>
        </w:tc>
        <w:tc>
          <w:tcPr>
            <w:tcW w:w="1852" w:type="dxa"/>
            <w:tcBorders>
              <w:top w:val="nil"/>
              <w:left w:val="nil"/>
              <w:bottom w:val="nil"/>
              <w:right w:val="nil"/>
            </w:tcBorders>
            <w:vAlign w:val="bottom"/>
          </w:tcPr>
          <w:p w:rsidR="0021527B" w:rsidRPr="006D4B21" w:rsidRDefault="0021527B" w:rsidP="00D86E5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1613" w:type="dxa"/>
            <w:tcBorders>
              <w:top w:val="nil"/>
              <w:left w:val="nil"/>
              <w:bottom w:val="nil"/>
              <w:right w:val="nil"/>
            </w:tcBorders>
            <w:vAlign w:val="bottom"/>
          </w:tcPr>
          <w:p w:rsidR="0021527B" w:rsidRPr="006D4B21" w:rsidRDefault="0021527B" w:rsidP="00601AB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r w:rsidR="0021527B" w:rsidRPr="006D4B21" w:rsidTr="009064E7">
        <w:trPr>
          <w:cantSplit/>
          <w:jc w:val="center"/>
        </w:trPr>
        <w:tc>
          <w:tcPr>
            <w:tcW w:w="5195" w:type="dxa"/>
            <w:tcBorders>
              <w:top w:val="nil"/>
              <w:left w:val="nil"/>
              <w:bottom w:val="nil"/>
              <w:right w:val="nil"/>
            </w:tcBorders>
          </w:tcPr>
          <w:p w:rsidR="0021527B" w:rsidRPr="006D4B21" w:rsidRDefault="0021527B" w:rsidP="00744A72">
            <w:pPr>
              <w:widowControl/>
              <w:tabs>
                <w:tab w:val="right" w:leader="dot" w:pos="6060"/>
              </w:tabs>
              <w:suppressAutoHyphens/>
              <w:ind w:left="200" w:hanging="200"/>
              <w:rPr>
                <w:sz w:val="22"/>
              </w:rPr>
            </w:pPr>
          </w:p>
        </w:tc>
        <w:tc>
          <w:tcPr>
            <w:tcW w:w="1852" w:type="dxa"/>
            <w:tcBorders>
              <w:top w:val="nil"/>
              <w:left w:val="nil"/>
              <w:bottom w:val="nil"/>
              <w:right w:val="nil"/>
            </w:tcBorders>
            <w:vAlign w:val="bottom"/>
          </w:tcPr>
          <w:p w:rsidR="0021527B" w:rsidRPr="00D81871" w:rsidRDefault="006D4B21" w:rsidP="006D4B2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b/>
                <w:sz w:val="22"/>
              </w:rPr>
            </w:pPr>
            <w:r w:rsidRPr="00D81871">
              <w:rPr>
                <w:b/>
                <w:sz w:val="22"/>
              </w:rPr>
              <w:t>March</w:t>
            </w:r>
            <w:r w:rsidR="0021527B" w:rsidRPr="00D81871">
              <w:rPr>
                <w:b/>
                <w:sz w:val="22"/>
              </w:rPr>
              <w:t xml:space="preserve"> 3</w:t>
            </w:r>
            <w:r w:rsidRPr="00D81871">
              <w:rPr>
                <w:b/>
                <w:sz w:val="22"/>
              </w:rPr>
              <w:t>1</w:t>
            </w:r>
            <w:r w:rsidR="0021527B" w:rsidRPr="00D81871">
              <w:rPr>
                <w:b/>
                <w:sz w:val="22"/>
              </w:rPr>
              <w:t>,</w:t>
            </w:r>
          </w:p>
        </w:tc>
        <w:tc>
          <w:tcPr>
            <w:tcW w:w="1613" w:type="dxa"/>
            <w:tcBorders>
              <w:top w:val="nil"/>
              <w:left w:val="nil"/>
              <w:bottom w:val="nil"/>
              <w:right w:val="nil"/>
            </w:tcBorders>
            <w:vAlign w:val="bottom"/>
          </w:tcPr>
          <w:p w:rsidR="0021527B" w:rsidRPr="006D4B21" w:rsidRDefault="0021527B" w:rsidP="0021527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b/>
                <w:sz w:val="22"/>
              </w:rPr>
            </w:pPr>
            <w:r w:rsidRPr="006D4B21">
              <w:rPr>
                <w:b/>
                <w:sz w:val="22"/>
              </w:rPr>
              <w:t>December 31,</w:t>
            </w:r>
          </w:p>
        </w:tc>
      </w:tr>
      <w:tr w:rsidR="0021527B" w:rsidRPr="006D4B21" w:rsidTr="009064E7">
        <w:trPr>
          <w:cantSplit/>
          <w:jc w:val="center"/>
        </w:trPr>
        <w:tc>
          <w:tcPr>
            <w:tcW w:w="5195" w:type="dxa"/>
            <w:tcBorders>
              <w:top w:val="nil"/>
              <w:left w:val="nil"/>
              <w:bottom w:val="nil"/>
              <w:right w:val="nil"/>
            </w:tcBorders>
          </w:tcPr>
          <w:p w:rsidR="0021527B" w:rsidRPr="006D4B21" w:rsidRDefault="0021527B" w:rsidP="00744A72">
            <w:pPr>
              <w:widowControl/>
              <w:tabs>
                <w:tab w:val="right" w:leader="dot" w:pos="6060"/>
              </w:tabs>
              <w:suppressAutoHyphens/>
              <w:ind w:left="200" w:hanging="200"/>
              <w:rPr>
                <w:sz w:val="22"/>
              </w:rPr>
            </w:pPr>
          </w:p>
        </w:tc>
        <w:tc>
          <w:tcPr>
            <w:tcW w:w="1852" w:type="dxa"/>
            <w:tcBorders>
              <w:top w:val="nil"/>
              <w:left w:val="nil"/>
              <w:bottom w:val="nil"/>
              <w:right w:val="nil"/>
            </w:tcBorders>
            <w:vAlign w:val="bottom"/>
          </w:tcPr>
          <w:p w:rsidR="0021527B" w:rsidRPr="00D81871" w:rsidRDefault="0021527B" w:rsidP="006D4B2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D81871">
              <w:rPr>
                <w:b/>
                <w:bCs/>
                <w:sz w:val="22"/>
              </w:rPr>
              <w:t>201</w:t>
            </w:r>
            <w:r w:rsidR="006D4B21" w:rsidRPr="00D81871">
              <w:rPr>
                <w:b/>
                <w:bCs/>
                <w:sz w:val="22"/>
              </w:rPr>
              <w:t>4</w:t>
            </w:r>
          </w:p>
        </w:tc>
        <w:tc>
          <w:tcPr>
            <w:tcW w:w="1613" w:type="dxa"/>
            <w:tcBorders>
              <w:top w:val="nil"/>
              <w:left w:val="nil"/>
              <w:bottom w:val="nil"/>
              <w:right w:val="nil"/>
            </w:tcBorders>
            <w:vAlign w:val="bottom"/>
          </w:tcPr>
          <w:p w:rsidR="0021527B" w:rsidRPr="006D4B21" w:rsidRDefault="0021527B" w:rsidP="006D4B2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6D4B21">
              <w:rPr>
                <w:b/>
                <w:bCs/>
                <w:sz w:val="22"/>
              </w:rPr>
              <w:t>201</w:t>
            </w:r>
            <w:r w:rsidR="006D4B21">
              <w:rPr>
                <w:b/>
                <w:bCs/>
                <w:sz w:val="22"/>
              </w:rPr>
              <w:t>3</w:t>
            </w:r>
          </w:p>
        </w:tc>
      </w:tr>
      <w:tr w:rsidR="0021527B" w:rsidRPr="006D4B21" w:rsidTr="009064E7">
        <w:trPr>
          <w:cantSplit/>
          <w:jc w:val="center"/>
        </w:trPr>
        <w:tc>
          <w:tcPr>
            <w:tcW w:w="5195" w:type="dxa"/>
            <w:tcBorders>
              <w:top w:val="nil"/>
              <w:left w:val="nil"/>
              <w:bottom w:val="nil"/>
              <w:right w:val="nil"/>
            </w:tcBorders>
          </w:tcPr>
          <w:p w:rsidR="0021527B" w:rsidRPr="006D4B21" w:rsidRDefault="0021527B" w:rsidP="005E6CFB">
            <w:pPr>
              <w:widowControl/>
              <w:suppressAutoHyphens/>
              <w:ind w:left="200" w:hanging="200"/>
              <w:rPr>
                <w:sz w:val="22"/>
              </w:rPr>
            </w:pPr>
            <w:r w:rsidRPr="006D4B21">
              <w:rPr>
                <w:sz w:val="22"/>
              </w:rPr>
              <w:t>Total</w:t>
            </w:r>
            <w:r w:rsidR="000F095F" w:rsidRPr="006D4B21">
              <w:rPr>
                <w:sz w:val="22"/>
              </w:rPr>
              <w:t xml:space="preserve"> leasing equipment</w:t>
            </w:r>
            <w:r w:rsidRPr="006D4B21">
              <w:rPr>
                <w:sz w:val="22"/>
              </w:rPr>
              <w:tab/>
            </w:r>
          </w:p>
        </w:tc>
        <w:tc>
          <w:tcPr>
            <w:tcW w:w="1852" w:type="dxa"/>
            <w:tcBorders>
              <w:top w:val="nil"/>
              <w:left w:val="nil"/>
              <w:bottom w:val="nil"/>
              <w:right w:val="nil"/>
            </w:tcBorders>
            <w:vAlign w:val="bottom"/>
          </w:tcPr>
          <w:p w:rsidR="0021527B" w:rsidRPr="00D81871" w:rsidRDefault="000F095F" w:rsidP="00D818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D81871">
              <w:rPr>
                <w:sz w:val="22"/>
              </w:rPr>
              <w:t xml:space="preserve">$             </w:t>
            </w:r>
            <w:r w:rsidR="0021527B" w:rsidRPr="00D81871">
              <w:rPr>
                <w:sz w:val="22"/>
              </w:rPr>
              <w:t>1,</w:t>
            </w:r>
            <w:r w:rsidR="00F62F3C" w:rsidRPr="00D81871">
              <w:rPr>
                <w:sz w:val="22"/>
              </w:rPr>
              <w:t>7</w:t>
            </w:r>
            <w:r w:rsidR="00D81871" w:rsidRPr="00D81871">
              <w:rPr>
                <w:sz w:val="22"/>
              </w:rPr>
              <w:t>63</w:t>
            </w:r>
            <w:r w:rsidR="0021527B" w:rsidRPr="00D81871">
              <w:rPr>
                <w:sz w:val="22"/>
              </w:rPr>
              <w:t>,</w:t>
            </w:r>
            <w:r w:rsidR="00D81871" w:rsidRPr="00D81871">
              <w:rPr>
                <w:sz w:val="22"/>
              </w:rPr>
              <w:t>265</w:t>
            </w:r>
          </w:p>
        </w:tc>
        <w:tc>
          <w:tcPr>
            <w:tcW w:w="1613" w:type="dxa"/>
            <w:tcBorders>
              <w:top w:val="nil"/>
              <w:left w:val="nil"/>
              <w:bottom w:val="nil"/>
              <w:right w:val="nil"/>
            </w:tcBorders>
            <w:vAlign w:val="bottom"/>
          </w:tcPr>
          <w:p w:rsidR="0021527B" w:rsidRPr="006D4B21" w:rsidRDefault="000F095F" w:rsidP="006D4B2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D4B21">
              <w:rPr>
                <w:sz w:val="22"/>
              </w:rPr>
              <w:t xml:space="preserve">$  </w:t>
            </w:r>
            <w:r w:rsidR="001837B0" w:rsidRPr="006D4B21">
              <w:rPr>
                <w:sz w:val="22"/>
              </w:rPr>
              <w:t xml:space="preserve">  </w:t>
            </w:r>
            <w:r w:rsidRPr="006D4B21">
              <w:rPr>
                <w:sz w:val="22"/>
              </w:rPr>
              <w:t xml:space="preserve">    </w:t>
            </w:r>
            <w:r w:rsidR="0021527B" w:rsidRPr="006D4B21">
              <w:rPr>
                <w:sz w:val="22"/>
              </w:rPr>
              <w:t>1,</w:t>
            </w:r>
            <w:r w:rsidR="006D4B21">
              <w:rPr>
                <w:sz w:val="22"/>
              </w:rPr>
              <w:t>759</w:t>
            </w:r>
            <w:r w:rsidR="0021527B" w:rsidRPr="006D4B21">
              <w:rPr>
                <w:sz w:val="22"/>
              </w:rPr>
              <w:t>,</w:t>
            </w:r>
            <w:r w:rsidR="006D4B21">
              <w:rPr>
                <w:sz w:val="22"/>
              </w:rPr>
              <w:t>517</w:t>
            </w:r>
          </w:p>
        </w:tc>
      </w:tr>
      <w:tr w:rsidR="0021527B" w:rsidRPr="006D4B21" w:rsidTr="009064E7">
        <w:trPr>
          <w:cantSplit/>
          <w:jc w:val="center"/>
        </w:trPr>
        <w:tc>
          <w:tcPr>
            <w:tcW w:w="5195" w:type="dxa"/>
            <w:tcBorders>
              <w:top w:val="nil"/>
              <w:left w:val="nil"/>
              <w:bottom w:val="nil"/>
              <w:right w:val="nil"/>
            </w:tcBorders>
          </w:tcPr>
          <w:p w:rsidR="0021527B" w:rsidRPr="006D4B21" w:rsidRDefault="0021527B" w:rsidP="005E6CFB">
            <w:pPr>
              <w:widowControl/>
              <w:suppressAutoHyphens/>
              <w:spacing w:after="20"/>
              <w:ind w:left="200" w:hanging="200"/>
              <w:rPr>
                <w:sz w:val="22"/>
              </w:rPr>
            </w:pPr>
            <w:r w:rsidRPr="006D4B21">
              <w:rPr>
                <w:sz w:val="22"/>
              </w:rPr>
              <w:t>Less accumulated depreciation</w:t>
            </w:r>
            <w:r w:rsidRPr="006D4B21">
              <w:rPr>
                <w:sz w:val="22"/>
              </w:rPr>
              <w:tab/>
            </w:r>
          </w:p>
        </w:tc>
        <w:tc>
          <w:tcPr>
            <w:tcW w:w="1852" w:type="dxa"/>
            <w:tcBorders>
              <w:top w:val="nil"/>
              <w:left w:val="nil"/>
              <w:bottom w:val="nil"/>
              <w:right w:val="nil"/>
            </w:tcBorders>
            <w:vAlign w:val="bottom"/>
          </w:tcPr>
          <w:p w:rsidR="0021527B" w:rsidRPr="00D81871" w:rsidRDefault="0021527B" w:rsidP="00D818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D81871">
              <w:rPr>
                <w:sz w:val="22"/>
              </w:rPr>
              <w:t>(3</w:t>
            </w:r>
            <w:r w:rsidR="00D81871" w:rsidRPr="00D81871">
              <w:rPr>
                <w:sz w:val="22"/>
              </w:rPr>
              <w:t>76</w:t>
            </w:r>
            <w:r w:rsidRPr="00D81871">
              <w:rPr>
                <w:sz w:val="22"/>
              </w:rPr>
              <w:t>,</w:t>
            </w:r>
            <w:r w:rsidR="00D81871" w:rsidRPr="00D81871">
              <w:rPr>
                <w:sz w:val="22"/>
              </w:rPr>
              <w:t>227</w:t>
            </w:r>
            <w:r w:rsidRPr="00D81871">
              <w:rPr>
                <w:sz w:val="22"/>
              </w:rPr>
              <w:t>)</w:t>
            </w:r>
          </w:p>
        </w:tc>
        <w:tc>
          <w:tcPr>
            <w:tcW w:w="1613" w:type="dxa"/>
            <w:tcBorders>
              <w:top w:val="nil"/>
              <w:left w:val="nil"/>
              <w:bottom w:val="nil"/>
              <w:right w:val="nil"/>
            </w:tcBorders>
            <w:vAlign w:val="bottom"/>
          </w:tcPr>
          <w:p w:rsidR="0021527B" w:rsidRPr="006D4B21" w:rsidRDefault="0021527B" w:rsidP="006D4B2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D4B21">
              <w:rPr>
                <w:sz w:val="22"/>
              </w:rPr>
              <w:t>(3</w:t>
            </w:r>
            <w:r w:rsidR="006D4B21">
              <w:rPr>
                <w:sz w:val="22"/>
              </w:rPr>
              <w:t>65</w:t>
            </w:r>
            <w:r w:rsidRPr="006D4B21">
              <w:rPr>
                <w:sz w:val="22"/>
              </w:rPr>
              <w:t>,</w:t>
            </w:r>
            <w:r w:rsidR="006D4B21">
              <w:rPr>
                <w:sz w:val="22"/>
              </w:rPr>
              <w:t>429</w:t>
            </w:r>
            <w:r w:rsidRPr="006D4B21">
              <w:rPr>
                <w:sz w:val="22"/>
              </w:rPr>
              <w:t>)</w:t>
            </w:r>
          </w:p>
        </w:tc>
      </w:tr>
      <w:tr w:rsidR="0021527B" w:rsidRPr="0053635E" w:rsidTr="009064E7">
        <w:trPr>
          <w:cantSplit/>
          <w:jc w:val="center"/>
        </w:trPr>
        <w:tc>
          <w:tcPr>
            <w:tcW w:w="5195" w:type="dxa"/>
            <w:tcBorders>
              <w:top w:val="nil"/>
              <w:left w:val="nil"/>
              <w:bottom w:val="nil"/>
              <w:right w:val="nil"/>
            </w:tcBorders>
          </w:tcPr>
          <w:p w:rsidR="0021527B" w:rsidRPr="006D4B21" w:rsidRDefault="0021527B" w:rsidP="005E6CFB">
            <w:pPr>
              <w:widowControl/>
              <w:suppressAutoHyphens/>
              <w:spacing w:after="40"/>
              <w:ind w:left="200" w:hanging="200"/>
              <w:rPr>
                <w:sz w:val="22"/>
              </w:rPr>
            </w:pPr>
            <w:r w:rsidRPr="006D4B21">
              <w:rPr>
                <w:sz w:val="22"/>
              </w:rPr>
              <w:t>Leasing equipment, net of accumulated depreciation</w:t>
            </w:r>
            <w:r w:rsidRPr="006D4B21">
              <w:rPr>
                <w:sz w:val="22"/>
              </w:rPr>
              <w:tab/>
            </w:r>
          </w:p>
        </w:tc>
        <w:tc>
          <w:tcPr>
            <w:tcW w:w="1852" w:type="dxa"/>
            <w:tcBorders>
              <w:top w:val="nil"/>
              <w:left w:val="nil"/>
              <w:bottom w:val="nil"/>
              <w:right w:val="nil"/>
            </w:tcBorders>
            <w:vAlign w:val="bottom"/>
          </w:tcPr>
          <w:p w:rsidR="0021527B" w:rsidRPr="00D81871" w:rsidRDefault="0021527B" w:rsidP="00D8187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D81871">
              <w:rPr>
                <w:sz w:val="22"/>
              </w:rPr>
              <w:t>$</w:t>
            </w:r>
            <w:r w:rsidR="005E6CFB" w:rsidRPr="00D81871">
              <w:rPr>
                <w:sz w:val="22"/>
              </w:rPr>
              <w:t xml:space="preserve">             </w:t>
            </w:r>
            <w:r w:rsidRPr="00D81871">
              <w:rPr>
                <w:sz w:val="22"/>
              </w:rPr>
              <w:t>1,</w:t>
            </w:r>
            <w:r w:rsidR="00D81871" w:rsidRPr="00D81871">
              <w:rPr>
                <w:sz w:val="22"/>
              </w:rPr>
              <w:t>387</w:t>
            </w:r>
            <w:r w:rsidRPr="00D81871">
              <w:rPr>
                <w:sz w:val="22"/>
              </w:rPr>
              <w:t>,</w:t>
            </w:r>
            <w:r w:rsidR="00D81871" w:rsidRPr="00D81871">
              <w:rPr>
                <w:sz w:val="22"/>
              </w:rPr>
              <w:t>038</w:t>
            </w:r>
          </w:p>
        </w:tc>
        <w:tc>
          <w:tcPr>
            <w:tcW w:w="1613" w:type="dxa"/>
            <w:tcBorders>
              <w:top w:val="nil"/>
              <w:left w:val="nil"/>
              <w:bottom w:val="nil"/>
              <w:right w:val="nil"/>
            </w:tcBorders>
            <w:vAlign w:val="bottom"/>
          </w:tcPr>
          <w:p w:rsidR="0021527B" w:rsidRPr="006D4B21" w:rsidRDefault="0021527B" w:rsidP="006D4B2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6D4B21">
              <w:rPr>
                <w:sz w:val="22"/>
              </w:rPr>
              <w:t>$</w:t>
            </w:r>
            <w:r w:rsidR="005E6CFB" w:rsidRPr="006D4B21">
              <w:rPr>
                <w:sz w:val="22"/>
              </w:rPr>
              <w:t xml:space="preserve">        </w:t>
            </w:r>
            <w:r w:rsidRPr="006D4B21">
              <w:rPr>
                <w:sz w:val="22"/>
              </w:rPr>
              <w:t>1,3</w:t>
            </w:r>
            <w:r w:rsidR="006D4B21">
              <w:rPr>
                <w:sz w:val="22"/>
              </w:rPr>
              <w:t>94</w:t>
            </w:r>
            <w:r w:rsidRPr="006D4B21">
              <w:rPr>
                <w:sz w:val="22"/>
              </w:rPr>
              <w:t>,</w:t>
            </w:r>
            <w:r w:rsidR="006D4B21">
              <w:rPr>
                <w:sz w:val="22"/>
              </w:rPr>
              <w:t>088</w:t>
            </w:r>
          </w:p>
        </w:tc>
      </w:tr>
    </w:tbl>
    <w:p w:rsidR="00A91B63" w:rsidRDefault="00CA14BE" w:rsidP="004E60FD">
      <w:pPr>
        <w:widowControl/>
        <w:tabs>
          <w:tab w:val="left" w:pos="-720"/>
        </w:tabs>
        <w:suppressAutoHyphens/>
        <w:spacing w:before="240" w:after="240"/>
        <w:ind w:firstLine="720"/>
        <w:jc w:val="both"/>
        <w:rPr>
          <w:sz w:val="22"/>
        </w:rPr>
      </w:pPr>
      <w:r w:rsidRPr="00A9190A">
        <w:rPr>
          <w:sz w:val="22"/>
        </w:rPr>
        <w:t xml:space="preserve">Leasing equipment includes assets recorded under capital </w:t>
      </w:r>
      <w:r w:rsidRPr="00F42D41">
        <w:rPr>
          <w:sz w:val="22"/>
        </w:rPr>
        <w:t>leases of $</w:t>
      </w:r>
      <w:r w:rsidR="00F42D41" w:rsidRPr="00F42D41">
        <w:rPr>
          <w:sz w:val="22"/>
        </w:rPr>
        <w:t>229,725</w:t>
      </w:r>
      <w:r w:rsidRPr="00F42D41">
        <w:rPr>
          <w:sz w:val="22"/>
        </w:rPr>
        <w:t xml:space="preserve"> and $</w:t>
      </w:r>
      <w:r w:rsidR="00A9190A" w:rsidRPr="00F42D41">
        <w:rPr>
          <w:sz w:val="22"/>
        </w:rPr>
        <w:t>253</w:t>
      </w:r>
      <w:r w:rsidR="00D378BE" w:rsidRPr="00F42D41">
        <w:rPr>
          <w:sz w:val="22"/>
        </w:rPr>
        <w:t>,</w:t>
      </w:r>
      <w:r w:rsidR="00A9190A" w:rsidRPr="00F42D41">
        <w:rPr>
          <w:sz w:val="22"/>
        </w:rPr>
        <w:t>639</w:t>
      </w:r>
      <w:r w:rsidRPr="00A9190A">
        <w:rPr>
          <w:sz w:val="22"/>
        </w:rPr>
        <w:t xml:space="preserve"> with accumulated </w:t>
      </w:r>
      <w:r w:rsidRPr="00F42D41">
        <w:rPr>
          <w:sz w:val="22"/>
        </w:rPr>
        <w:t>depreciation of $</w:t>
      </w:r>
      <w:r w:rsidR="00F42D41" w:rsidRPr="00F42D41">
        <w:rPr>
          <w:sz w:val="22"/>
        </w:rPr>
        <w:t>56,973</w:t>
      </w:r>
      <w:r w:rsidRPr="00F42D41">
        <w:rPr>
          <w:sz w:val="22"/>
        </w:rPr>
        <w:t xml:space="preserve"> and $</w:t>
      </w:r>
      <w:r w:rsidR="00A9190A" w:rsidRPr="00F42D41">
        <w:rPr>
          <w:sz w:val="22"/>
        </w:rPr>
        <w:t>59</w:t>
      </w:r>
      <w:r w:rsidR="00D378BE" w:rsidRPr="00F42D41">
        <w:rPr>
          <w:sz w:val="22"/>
        </w:rPr>
        <w:t>,</w:t>
      </w:r>
      <w:r w:rsidR="00A9190A" w:rsidRPr="00F42D41">
        <w:rPr>
          <w:sz w:val="22"/>
        </w:rPr>
        <w:t>424</w:t>
      </w:r>
      <w:r w:rsidR="00D378BE" w:rsidRPr="00F42D41">
        <w:rPr>
          <w:sz w:val="22"/>
        </w:rPr>
        <w:t xml:space="preserve"> </w:t>
      </w:r>
      <w:r w:rsidRPr="00F42D41">
        <w:rPr>
          <w:sz w:val="22"/>
        </w:rPr>
        <w:t>at</w:t>
      </w:r>
      <w:r w:rsidRPr="00A9190A">
        <w:rPr>
          <w:sz w:val="22"/>
        </w:rPr>
        <w:t xml:space="preserve"> </w:t>
      </w:r>
      <w:r w:rsidR="00A9190A" w:rsidRPr="00A9190A">
        <w:rPr>
          <w:sz w:val="22"/>
        </w:rPr>
        <w:t>March</w:t>
      </w:r>
      <w:r w:rsidRPr="00A9190A">
        <w:rPr>
          <w:sz w:val="22"/>
        </w:rPr>
        <w:t> 3</w:t>
      </w:r>
      <w:r w:rsidR="00A9190A" w:rsidRPr="00A9190A">
        <w:rPr>
          <w:sz w:val="22"/>
        </w:rPr>
        <w:t>1</w:t>
      </w:r>
      <w:r w:rsidRPr="00A9190A">
        <w:rPr>
          <w:sz w:val="22"/>
        </w:rPr>
        <w:t>, 201</w:t>
      </w:r>
      <w:r w:rsidR="00A9190A" w:rsidRPr="00A9190A">
        <w:rPr>
          <w:sz w:val="22"/>
        </w:rPr>
        <w:t>4</w:t>
      </w:r>
      <w:r w:rsidRPr="00A9190A">
        <w:rPr>
          <w:sz w:val="22"/>
        </w:rPr>
        <w:t xml:space="preserve"> and </w:t>
      </w:r>
      <w:r w:rsidR="0021527B" w:rsidRPr="00A9190A">
        <w:rPr>
          <w:sz w:val="22"/>
        </w:rPr>
        <w:t>December</w:t>
      </w:r>
      <w:r w:rsidR="003161FE" w:rsidRPr="00A9190A">
        <w:rPr>
          <w:sz w:val="22"/>
        </w:rPr>
        <w:t xml:space="preserve"> 31, </w:t>
      </w:r>
      <w:r w:rsidRPr="00A9190A">
        <w:rPr>
          <w:sz w:val="22"/>
        </w:rPr>
        <w:t>201</w:t>
      </w:r>
      <w:r w:rsidR="00A9190A" w:rsidRPr="00A9190A">
        <w:rPr>
          <w:sz w:val="22"/>
        </w:rPr>
        <w:t>3</w:t>
      </w:r>
      <w:r w:rsidRPr="00A9190A">
        <w:rPr>
          <w:sz w:val="22"/>
        </w:rPr>
        <w:t>, respectively.</w:t>
      </w:r>
    </w:p>
    <w:p w:rsidR="00C17690" w:rsidRDefault="00FF6D76" w:rsidP="000E2D5C">
      <w:pPr>
        <w:widowControl/>
        <w:tabs>
          <w:tab w:val="left" w:pos="-720"/>
        </w:tabs>
        <w:suppressAutoHyphens/>
        <w:spacing w:after="240"/>
        <w:ind w:firstLine="720"/>
        <w:jc w:val="both"/>
        <w:rPr>
          <w:sz w:val="22"/>
        </w:rPr>
      </w:pPr>
      <w:r w:rsidRPr="003666A4">
        <w:rPr>
          <w:sz w:val="22"/>
        </w:rPr>
        <w:t>During January and February of 2014, the Company purchased a total of 3,055 units from three shipping line customers for $14,689 and sold a total of 1,139 units to two transportation companies for $6,48</w:t>
      </w:r>
      <w:r>
        <w:rPr>
          <w:sz w:val="22"/>
        </w:rPr>
        <w:t>1</w:t>
      </w:r>
      <w:r w:rsidRPr="003666A4">
        <w:rPr>
          <w:sz w:val="22"/>
        </w:rPr>
        <w:t xml:space="preserve">.  </w:t>
      </w:r>
    </w:p>
    <w:p w:rsidR="00CA14BE" w:rsidRPr="00E76A1C" w:rsidRDefault="00E76A1C" w:rsidP="00EE2E7E">
      <w:pPr>
        <w:keepNext/>
        <w:keepLines/>
        <w:widowControl/>
        <w:tabs>
          <w:tab w:val="left" w:pos="-720"/>
          <w:tab w:val="left" w:pos="720"/>
          <w:tab w:val="left" w:pos="1440"/>
        </w:tabs>
        <w:suppressAutoHyphens/>
        <w:spacing w:after="240"/>
        <w:jc w:val="both"/>
        <w:rPr>
          <w:b/>
          <w:bCs/>
          <w:sz w:val="22"/>
        </w:rPr>
      </w:pPr>
      <w:r w:rsidRPr="00E76A1C">
        <w:rPr>
          <w:b/>
          <w:bCs/>
          <w:sz w:val="22"/>
        </w:rPr>
        <w:t>4</w:t>
      </w:r>
      <w:r w:rsidR="00CA14BE" w:rsidRPr="00E76A1C">
        <w:rPr>
          <w:b/>
          <w:bCs/>
          <w:sz w:val="22"/>
        </w:rPr>
        <w:t>. Impairment of Leasing Equipment</w:t>
      </w:r>
    </w:p>
    <w:p w:rsidR="009F1E82" w:rsidRPr="007938E0" w:rsidRDefault="00CA14BE" w:rsidP="00842185">
      <w:pPr>
        <w:widowControl/>
        <w:tabs>
          <w:tab w:val="left" w:pos="-720"/>
        </w:tabs>
        <w:suppressAutoHyphens/>
        <w:spacing w:after="240"/>
        <w:ind w:firstLine="720"/>
        <w:jc w:val="both"/>
        <w:rPr>
          <w:sz w:val="22"/>
        </w:rPr>
      </w:pPr>
      <w:r w:rsidRPr="00E76A1C">
        <w:rPr>
          <w:sz w:val="22"/>
        </w:rPr>
        <w:t xml:space="preserve">Impairment of leasing equipment </w:t>
      </w:r>
      <w:r w:rsidRPr="007661BF">
        <w:rPr>
          <w:sz w:val="22"/>
        </w:rPr>
        <w:t>amounted to $</w:t>
      </w:r>
      <w:r w:rsidR="007661BF" w:rsidRPr="007661BF">
        <w:rPr>
          <w:sz w:val="22"/>
        </w:rPr>
        <w:t>1,126</w:t>
      </w:r>
      <w:r w:rsidRPr="007661BF">
        <w:rPr>
          <w:sz w:val="22"/>
        </w:rPr>
        <w:t xml:space="preserve"> and $</w:t>
      </w:r>
      <w:r w:rsidR="00E76A1C" w:rsidRPr="007661BF">
        <w:rPr>
          <w:sz w:val="22"/>
        </w:rPr>
        <w:t>2</w:t>
      </w:r>
      <w:r w:rsidR="00F62F3C" w:rsidRPr="007661BF">
        <w:rPr>
          <w:sz w:val="22"/>
        </w:rPr>
        <w:t>,</w:t>
      </w:r>
      <w:r w:rsidR="00E76A1C" w:rsidRPr="007661BF">
        <w:rPr>
          <w:sz w:val="22"/>
        </w:rPr>
        <w:t>133</w:t>
      </w:r>
      <w:r w:rsidR="009554C8" w:rsidRPr="007661BF">
        <w:rPr>
          <w:sz w:val="22"/>
        </w:rPr>
        <w:t xml:space="preserve"> </w:t>
      </w:r>
      <w:r w:rsidRPr="007661BF">
        <w:rPr>
          <w:sz w:val="22"/>
        </w:rPr>
        <w:t>for</w:t>
      </w:r>
      <w:r w:rsidRPr="00E76A1C">
        <w:rPr>
          <w:sz w:val="22"/>
        </w:rPr>
        <w:t xml:space="preserve"> the</w:t>
      </w:r>
      <w:r w:rsidR="00B72987" w:rsidRPr="00E76A1C">
        <w:rPr>
          <w:sz w:val="22"/>
        </w:rPr>
        <w:t xml:space="preserve"> three</w:t>
      </w:r>
      <w:r w:rsidR="00E76A1C">
        <w:rPr>
          <w:sz w:val="22"/>
        </w:rPr>
        <w:t xml:space="preserve"> months ended March 31, 2014 and 2013</w:t>
      </w:r>
      <w:r w:rsidR="005F4BB4">
        <w:rPr>
          <w:sz w:val="22"/>
        </w:rPr>
        <w:t>, respectively</w:t>
      </w:r>
      <w:r w:rsidR="009554C8" w:rsidRPr="00E76A1C">
        <w:rPr>
          <w:sz w:val="22"/>
        </w:rPr>
        <w:t>.</w:t>
      </w:r>
      <w:r w:rsidRPr="00E76A1C">
        <w:rPr>
          <w:sz w:val="22"/>
        </w:rPr>
        <w:t xml:space="preserve"> </w:t>
      </w:r>
      <w:r w:rsidR="007938E0">
        <w:rPr>
          <w:sz w:val="22"/>
        </w:rPr>
        <w:t xml:space="preserve"> </w:t>
      </w:r>
      <w:r w:rsidR="00456F00" w:rsidRPr="007661BF">
        <w:rPr>
          <w:sz w:val="22"/>
        </w:rPr>
        <w:t xml:space="preserve">The </w:t>
      </w:r>
      <w:r w:rsidR="00F31E55" w:rsidRPr="007661BF">
        <w:rPr>
          <w:sz w:val="22"/>
        </w:rPr>
        <w:t>decrease in</w:t>
      </w:r>
      <w:r w:rsidR="00456F00" w:rsidRPr="007661BF">
        <w:rPr>
          <w:sz w:val="22"/>
        </w:rPr>
        <w:t xml:space="preserve"> </w:t>
      </w:r>
      <w:r w:rsidR="00456F00" w:rsidRPr="007938E0">
        <w:rPr>
          <w:sz w:val="22"/>
        </w:rPr>
        <w:t>impairment charges reflected during 201</w:t>
      </w:r>
      <w:r w:rsidR="00E76A1C" w:rsidRPr="007938E0">
        <w:rPr>
          <w:sz w:val="22"/>
        </w:rPr>
        <w:t>4</w:t>
      </w:r>
      <w:r w:rsidR="00456F00" w:rsidRPr="007938E0">
        <w:rPr>
          <w:sz w:val="22"/>
        </w:rPr>
        <w:t xml:space="preserve"> w</w:t>
      </w:r>
      <w:r w:rsidR="00F31E55" w:rsidRPr="007938E0">
        <w:rPr>
          <w:sz w:val="22"/>
        </w:rPr>
        <w:t>as</w:t>
      </w:r>
      <w:r w:rsidR="00456F00" w:rsidRPr="007938E0">
        <w:rPr>
          <w:sz w:val="22"/>
        </w:rPr>
        <w:t xml:space="preserve"> primarily due</w:t>
      </w:r>
      <w:r w:rsidR="007938E0">
        <w:rPr>
          <w:sz w:val="22"/>
        </w:rPr>
        <w:t xml:space="preserve"> to</w:t>
      </w:r>
      <w:r w:rsidR="005F4BB4">
        <w:rPr>
          <w:sz w:val="22"/>
        </w:rPr>
        <w:t xml:space="preserve"> a lesser number of end-of-life chassis impaired in the first quarter of 2014 as compared to the first quarter of 2013 of $1,411, partially offset by write-downs of $335 associated with axle sets and chassis determined to be unsuitable for the remanufacturing program.</w:t>
      </w:r>
    </w:p>
    <w:p w:rsidR="00CA14BE" w:rsidRPr="006204B5" w:rsidRDefault="006204B5" w:rsidP="00744A72">
      <w:pPr>
        <w:keepNext/>
        <w:keepLines/>
        <w:widowControl/>
        <w:tabs>
          <w:tab w:val="left" w:pos="-720"/>
          <w:tab w:val="left" w:pos="720"/>
          <w:tab w:val="left" w:pos="1440"/>
        </w:tabs>
        <w:suppressAutoHyphens/>
        <w:spacing w:after="240"/>
        <w:rPr>
          <w:b/>
          <w:bCs/>
          <w:sz w:val="22"/>
        </w:rPr>
      </w:pPr>
      <w:r w:rsidRPr="007938E0">
        <w:rPr>
          <w:b/>
          <w:bCs/>
          <w:sz w:val="22"/>
        </w:rPr>
        <w:t>5</w:t>
      </w:r>
      <w:r w:rsidR="00CA14BE" w:rsidRPr="007938E0">
        <w:rPr>
          <w:b/>
          <w:bCs/>
          <w:sz w:val="22"/>
        </w:rPr>
        <w:t>. Borrowings</w:t>
      </w:r>
    </w:p>
    <w:p w:rsidR="00744A72" w:rsidRPr="006204B5" w:rsidRDefault="00CA14BE" w:rsidP="00744A72">
      <w:pPr>
        <w:widowControl/>
        <w:tabs>
          <w:tab w:val="left" w:pos="-720"/>
        </w:tabs>
        <w:suppressAutoHyphens/>
        <w:spacing w:after="240"/>
        <w:ind w:firstLine="720"/>
        <w:rPr>
          <w:sz w:val="22"/>
        </w:rPr>
      </w:pPr>
      <w:r w:rsidRPr="006204B5">
        <w:rPr>
          <w:sz w:val="22"/>
        </w:rPr>
        <w:t>The following is a summary of the Company</w:t>
      </w:r>
      <w:r w:rsidR="00744A72" w:rsidRPr="006204B5">
        <w:rPr>
          <w:sz w:val="22"/>
        </w:rPr>
        <w:t>’</w:t>
      </w:r>
      <w:r w:rsidRPr="006204B5">
        <w:rPr>
          <w:sz w:val="22"/>
        </w:rPr>
        <w:t>s borrowings:</w:t>
      </w:r>
    </w:p>
    <w:tbl>
      <w:tblPr>
        <w:tblW w:w="0" w:type="auto"/>
        <w:jc w:val="center"/>
        <w:tblLayout w:type="fixed"/>
        <w:tblCellMar>
          <w:left w:w="72" w:type="dxa"/>
          <w:right w:w="72" w:type="dxa"/>
        </w:tblCellMar>
        <w:tblLook w:val="0000" w:firstRow="0" w:lastRow="0" w:firstColumn="0" w:lastColumn="0" w:noHBand="0" w:noVBand="0"/>
      </w:tblPr>
      <w:tblGrid>
        <w:gridCol w:w="5283"/>
        <w:gridCol w:w="1779"/>
        <w:gridCol w:w="1678"/>
      </w:tblGrid>
      <w:tr w:rsidR="00BC600D" w:rsidRPr="006204B5" w:rsidTr="00E92361">
        <w:trPr>
          <w:cantSplit/>
          <w:jc w:val="center"/>
        </w:trPr>
        <w:tc>
          <w:tcPr>
            <w:tcW w:w="5283" w:type="dxa"/>
            <w:tcBorders>
              <w:top w:val="nil"/>
              <w:left w:val="nil"/>
              <w:bottom w:val="nil"/>
              <w:right w:val="nil"/>
            </w:tcBorders>
          </w:tcPr>
          <w:p w:rsidR="00BC600D" w:rsidRPr="006204B5" w:rsidRDefault="00BC600D" w:rsidP="00744A72">
            <w:pPr>
              <w:widowControl/>
              <w:tabs>
                <w:tab w:val="right" w:leader="dot" w:pos="6280"/>
              </w:tabs>
              <w:suppressAutoHyphens/>
              <w:ind w:left="200" w:hanging="200"/>
              <w:rPr>
                <w:sz w:val="22"/>
              </w:rPr>
            </w:pPr>
          </w:p>
        </w:tc>
        <w:tc>
          <w:tcPr>
            <w:tcW w:w="1779" w:type="dxa"/>
            <w:tcBorders>
              <w:top w:val="nil"/>
              <w:left w:val="nil"/>
              <w:bottom w:val="nil"/>
              <w:right w:val="nil"/>
            </w:tcBorders>
            <w:vAlign w:val="bottom"/>
          </w:tcPr>
          <w:p w:rsidR="00BC600D" w:rsidRPr="006204B5" w:rsidRDefault="00BC600D" w:rsidP="00D86E5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1678" w:type="dxa"/>
            <w:tcBorders>
              <w:top w:val="nil"/>
              <w:left w:val="nil"/>
              <w:bottom w:val="nil"/>
              <w:right w:val="nil"/>
            </w:tcBorders>
            <w:vAlign w:val="bottom"/>
          </w:tcPr>
          <w:p w:rsidR="00BC600D" w:rsidRPr="006204B5" w:rsidRDefault="00BC600D" w:rsidP="007865C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r w:rsidR="00BC600D" w:rsidRPr="006204B5" w:rsidTr="00E92361">
        <w:trPr>
          <w:cantSplit/>
          <w:jc w:val="center"/>
        </w:trPr>
        <w:tc>
          <w:tcPr>
            <w:tcW w:w="5283" w:type="dxa"/>
            <w:tcBorders>
              <w:top w:val="nil"/>
              <w:left w:val="nil"/>
              <w:bottom w:val="nil"/>
              <w:right w:val="nil"/>
            </w:tcBorders>
          </w:tcPr>
          <w:p w:rsidR="00BC600D" w:rsidRPr="006204B5" w:rsidRDefault="00BC600D" w:rsidP="00744A72">
            <w:pPr>
              <w:widowControl/>
              <w:tabs>
                <w:tab w:val="right" w:leader="dot" w:pos="6280"/>
              </w:tabs>
              <w:suppressAutoHyphens/>
              <w:ind w:left="200" w:hanging="200"/>
              <w:rPr>
                <w:sz w:val="22"/>
              </w:rPr>
            </w:pPr>
          </w:p>
        </w:tc>
        <w:tc>
          <w:tcPr>
            <w:tcW w:w="1779" w:type="dxa"/>
            <w:tcBorders>
              <w:top w:val="nil"/>
              <w:left w:val="nil"/>
              <w:bottom w:val="nil"/>
              <w:right w:val="nil"/>
            </w:tcBorders>
            <w:vAlign w:val="bottom"/>
          </w:tcPr>
          <w:p w:rsidR="00BC600D" w:rsidRPr="006204B5" w:rsidRDefault="006204B5" w:rsidP="006204B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b/>
                <w:sz w:val="22"/>
              </w:rPr>
            </w:pPr>
            <w:r>
              <w:rPr>
                <w:b/>
                <w:sz w:val="22"/>
              </w:rPr>
              <w:t>March</w:t>
            </w:r>
            <w:r w:rsidR="00BC600D" w:rsidRPr="006204B5">
              <w:rPr>
                <w:b/>
                <w:sz w:val="22"/>
              </w:rPr>
              <w:t xml:space="preserve"> 3</w:t>
            </w:r>
            <w:r>
              <w:rPr>
                <w:b/>
                <w:sz w:val="22"/>
              </w:rPr>
              <w:t>1</w:t>
            </w:r>
            <w:r w:rsidR="00BC600D" w:rsidRPr="006204B5">
              <w:rPr>
                <w:b/>
                <w:sz w:val="22"/>
              </w:rPr>
              <w:t>,</w:t>
            </w:r>
          </w:p>
        </w:tc>
        <w:tc>
          <w:tcPr>
            <w:tcW w:w="1678" w:type="dxa"/>
            <w:tcBorders>
              <w:top w:val="nil"/>
              <w:left w:val="nil"/>
              <w:bottom w:val="nil"/>
              <w:right w:val="nil"/>
            </w:tcBorders>
            <w:vAlign w:val="bottom"/>
          </w:tcPr>
          <w:p w:rsidR="00BC600D" w:rsidRPr="006204B5" w:rsidRDefault="00BC600D" w:rsidP="00BC600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b/>
                <w:sz w:val="22"/>
              </w:rPr>
            </w:pPr>
            <w:r w:rsidRPr="006204B5">
              <w:rPr>
                <w:b/>
                <w:sz w:val="22"/>
              </w:rPr>
              <w:t>December 31,</w:t>
            </w:r>
          </w:p>
        </w:tc>
      </w:tr>
      <w:tr w:rsidR="00BC600D" w:rsidRPr="0053635E" w:rsidTr="00E92361">
        <w:trPr>
          <w:cantSplit/>
          <w:jc w:val="center"/>
        </w:trPr>
        <w:tc>
          <w:tcPr>
            <w:tcW w:w="5283" w:type="dxa"/>
            <w:tcBorders>
              <w:top w:val="nil"/>
              <w:left w:val="nil"/>
              <w:bottom w:val="nil"/>
              <w:right w:val="nil"/>
            </w:tcBorders>
          </w:tcPr>
          <w:p w:rsidR="00BC600D" w:rsidRPr="006204B5" w:rsidRDefault="00BC600D" w:rsidP="00744A72">
            <w:pPr>
              <w:widowControl/>
              <w:tabs>
                <w:tab w:val="right" w:leader="dot" w:pos="6280"/>
              </w:tabs>
              <w:suppressAutoHyphens/>
              <w:ind w:left="200" w:hanging="200"/>
              <w:rPr>
                <w:sz w:val="22"/>
              </w:rPr>
            </w:pPr>
          </w:p>
        </w:tc>
        <w:tc>
          <w:tcPr>
            <w:tcW w:w="1779" w:type="dxa"/>
            <w:tcBorders>
              <w:top w:val="nil"/>
              <w:left w:val="nil"/>
              <w:bottom w:val="nil"/>
              <w:right w:val="nil"/>
            </w:tcBorders>
            <w:vAlign w:val="bottom"/>
          </w:tcPr>
          <w:p w:rsidR="00BC600D" w:rsidRPr="006204B5" w:rsidRDefault="00BC600D" w:rsidP="006204B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6204B5">
              <w:rPr>
                <w:b/>
                <w:bCs/>
                <w:sz w:val="22"/>
              </w:rPr>
              <w:t>201</w:t>
            </w:r>
            <w:r w:rsidR="006204B5">
              <w:rPr>
                <w:b/>
                <w:bCs/>
                <w:sz w:val="22"/>
              </w:rPr>
              <w:t>4</w:t>
            </w:r>
          </w:p>
        </w:tc>
        <w:tc>
          <w:tcPr>
            <w:tcW w:w="1678" w:type="dxa"/>
            <w:tcBorders>
              <w:top w:val="nil"/>
              <w:left w:val="nil"/>
              <w:bottom w:val="nil"/>
              <w:right w:val="nil"/>
            </w:tcBorders>
            <w:vAlign w:val="bottom"/>
          </w:tcPr>
          <w:p w:rsidR="00BC600D" w:rsidRPr="006204B5" w:rsidRDefault="00BC600D" w:rsidP="006204B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6204B5">
              <w:rPr>
                <w:b/>
                <w:bCs/>
                <w:sz w:val="22"/>
              </w:rPr>
              <w:t>201</w:t>
            </w:r>
            <w:r w:rsidR="006204B5">
              <w:rPr>
                <w:b/>
                <w:bCs/>
                <w:sz w:val="22"/>
              </w:rPr>
              <w:t>3</w:t>
            </w:r>
          </w:p>
        </w:tc>
      </w:tr>
      <w:tr w:rsidR="00BC600D" w:rsidRPr="0053635E" w:rsidTr="00E92361">
        <w:trPr>
          <w:cantSplit/>
          <w:jc w:val="center"/>
        </w:trPr>
        <w:tc>
          <w:tcPr>
            <w:tcW w:w="5283" w:type="dxa"/>
            <w:tcBorders>
              <w:top w:val="nil"/>
              <w:left w:val="nil"/>
              <w:bottom w:val="nil"/>
              <w:right w:val="nil"/>
            </w:tcBorders>
          </w:tcPr>
          <w:p w:rsidR="00BC600D" w:rsidRPr="006204B5" w:rsidRDefault="00BC600D" w:rsidP="00E92361">
            <w:pPr>
              <w:widowControl/>
              <w:suppressAutoHyphens/>
              <w:ind w:left="200" w:hanging="200"/>
              <w:rPr>
                <w:sz w:val="22"/>
              </w:rPr>
            </w:pPr>
            <w:r w:rsidRPr="006204B5">
              <w:rPr>
                <w:sz w:val="22"/>
              </w:rPr>
              <w:t>Senior Secured 11% Notes</w:t>
            </w:r>
            <w:r w:rsidRPr="006204B5">
              <w:rPr>
                <w:sz w:val="22"/>
              </w:rPr>
              <w:tab/>
            </w:r>
          </w:p>
        </w:tc>
        <w:tc>
          <w:tcPr>
            <w:tcW w:w="1779" w:type="dxa"/>
            <w:tcBorders>
              <w:top w:val="nil"/>
              <w:left w:val="nil"/>
              <w:bottom w:val="nil"/>
              <w:right w:val="nil"/>
            </w:tcBorders>
            <w:vAlign w:val="bottom"/>
          </w:tcPr>
          <w:p w:rsidR="00BC600D" w:rsidRPr="008B2CC1" w:rsidRDefault="00BC600D" w:rsidP="00D86E5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B2CC1">
              <w:rPr>
                <w:sz w:val="22"/>
              </w:rPr>
              <w:t>$</w:t>
            </w:r>
            <w:r w:rsidR="00E92361" w:rsidRPr="008B2CC1">
              <w:rPr>
                <w:sz w:val="22"/>
              </w:rPr>
              <w:t xml:space="preserve">              </w:t>
            </w:r>
            <w:r w:rsidRPr="008B2CC1">
              <w:rPr>
                <w:sz w:val="22"/>
              </w:rPr>
              <w:t>300,000</w:t>
            </w:r>
          </w:p>
        </w:tc>
        <w:tc>
          <w:tcPr>
            <w:tcW w:w="1678" w:type="dxa"/>
            <w:tcBorders>
              <w:top w:val="nil"/>
              <w:left w:val="nil"/>
              <w:bottom w:val="nil"/>
              <w:right w:val="nil"/>
            </w:tcBorders>
            <w:vAlign w:val="bottom"/>
          </w:tcPr>
          <w:p w:rsidR="00BC600D" w:rsidRPr="006204B5" w:rsidRDefault="00BC600D" w:rsidP="007865C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204B5">
              <w:rPr>
                <w:sz w:val="22"/>
              </w:rPr>
              <w:t>$</w:t>
            </w:r>
            <w:r w:rsidR="00E92361" w:rsidRPr="006204B5">
              <w:rPr>
                <w:sz w:val="22"/>
              </w:rPr>
              <w:t xml:space="preserve">            </w:t>
            </w:r>
            <w:r w:rsidRPr="006204B5">
              <w:rPr>
                <w:sz w:val="22"/>
              </w:rPr>
              <w:t>300,000</w:t>
            </w:r>
          </w:p>
        </w:tc>
      </w:tr>
      <w:tr w:rsidR="00BC600D" w:rsidRPr="0053635E" w:rsidTr="00E92361">
        <w:trPr>
          <w:cantSplit/>
          <w:jc w:val="center"/>
        </w:trPr>
        <w:tc>
          <w:tcPr>
            <w:tcW w:w="5283" w:type="dxa"/>
            <w:tcBorders>
              <w:top w:val="nil"/>
              <w:left w:val="nil"/>
              <w:bottom w:val="nil"/>
              <w:right w:val="nil"/>
            </w:tcBorders>
          </w:tcPr>
          <w:p w:rsidR="00BC600D" w:rsidRPr="006204B5" w:rsidRDefault="00BC600D" w:rsidP="00E92361">
            <w:pPr>
              <w:widowControl/>
              <w:suppressAutoHyphens/>
              <w:ind w:left="200" w:hanging="200"/>
              <w:rPr>
                <w:sz w:val="22"/>
              </w:rPr>
            </w:pPr>
            <w:r w:rsidRPr="006204B5">
              <w:rPr>
                <w:sz w:val="22"/>
              </w:rPr>
              <w:t>ABL Facility</w:t>
            </w:r>
            <w:r w:rsidRPr="006204B5">
              <w:rPr>
                <w:sz w:val="22"/>
              </w:rPr>
              <w:tab/>
            </w:r>
          </w:p>
        </w:tc>
        <w:tc>
          <w:tcPr>
            <w:tcW w:w="1779" w:type="dxa"/>
            <w:tcBorders>
              <w:top w:val="nil"/>
              <w:left w:val="nil"/>
              <w:bottom w:val="nil"/>
              <w:right w:val="nil"/>
            </w:tcBorders>
            <w:vAlign w:val="bottom"/>
          </w:tcPr>
          <w:p w:rsidR="00BC600D" w:rsidRPr="008B2CC1" w:rsidRDefault="00831B28" w:rsidP="008B2CC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B2CC1">
              <w:rPr>
                <w:sz w:val="22"/>
              </w:rPr>
              <w:t>7</w:t>
            </w:r>
            <w:r w:rsidR="008B2CC1" w:rsidRPr="008B2CC1">
              <w:rPr>
                <w:sz w:val="22"/>
              </w:rPr>
              <w:t>07</w:t>
            </w:r>
            <w:r w:rsidR="00BC600D" w:rsidRPr="008B2CC1">
              <w:rPr>
                <w:sz w:val="22"/>
              </w:rPr>
              <w:t>,000</w:t>
            </w:r>
          </w:p>
        </w:tc>
        <w:tc>
          <w:tcPr>
            <w:tcW w:w="1678" w:type="dxa"/>
            <w:tcBorders>
              <w:top w:val="nil"/>
              <w:left w:val="nil"/>
              <w:bottom w:val="nil"/>
              <w:right w:val="nil"/>
            </w:tcBorders>
            <w:vAlign w:val="bottom"/>
          </w:tcPr>
          <w:p w:rsidR="00BC600D" w:rsidRPr="006204B5" w:rsidRDefault="006204B5" w:rsidP="006204B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204B5">
              <w:rPr>
                <w:sz w:val="22"/>
              </w:rPr>
              <w:t>713</w:t>
            </w:r>
            <w:r w:rsidR="00BC600D" w:rsidRPr="006204B5">
              <w:rPr>
                <w:sz w:val="22"/>
              </w:rPr>
              <w:t>,000</w:t>
            </w:r>
          </w:p>
        </w:tc>
      </w:tr>
      <w:tr w:rsidR="00BC600D" w:rsidRPr="0053635E" w:rsidTr="00E92361">
        <w:trPr>
          <w:cantSplit/>
          <w:jc w:val="center"/>
        </w:trPr>
        <w:tc>
          <w:tcPr>
            <w:tcW w:w="5283" w:type="dxa"/>
            <w:tcBorders>
              <w:top w:val="nil"/>
              <w:left w:val="nil"/>
              <w:bottom w:val="nil"/>
              <w:right w:val="nil"/>
            </w:tcBorders>
          </w:tcPr>
          <w:p w:rsidR="00BC600D" w:rsidRPr="006204B5" w:rsidRDefault="00BC600D" w:rsidP="00E92361">
            <w:pPr>
              <w:widowControl/>
              <w:suppressAutoHyphens/>
              <w:ind w:left="200" w:hanging="200"/>
              <w:rPr>
                <w:sz w:val="22"/>
              </w:rPr>
            </w:pPr>
            <w:r w:rsidRPr="006204B5">
              <w:rPr>
                <w:sz w:val="22"/>
              </w:rPr>
              <w:t>Loans Payable CIMC</w:t>
            </w:r>
            <w:r w:rsidRPr="006204B5">
              <w:rPr>
                <w:sz w:val="22"/>
              </w:rPr>
              <w:tab/>
            </w:r>
          </w:p>
        </w:tc>
        <w:tc>
          <w:tcPr>
            <w:tcW w:w="1779" w:type="dxa"/>
            <w:tcBorders>
              <w:top w:val="nil"/>
              <w:left w:val="nil"/>
              <w:bottom w:val="nil"/>
              <w:right w:val="nil"/>
            </w:tcBorders>
            <w:vAlign w:val="bottom"/>
          </w:tcPr>
          <w:p w:rsidR="00BC600D" w:rsidRPr="008B2CC1" w:rsidRDefault="00831B28" w:rsidP="008B2CC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B2CC1">
              <w:rPr>
                <w:sz w:val="22"/>
              </w:rPr>
              <w:t>1</w:t>
            </w:r>
            <w:r w:rsidR="008B2CC1" w:rsidRPr="008B2CC1">
              <w:rPr>
                <w:sz w:val="22"/>
              </w:rPr>
              <w:t>8</w:t>
            </w:r>
            <w:r w:rsidR="00BC600D" w:rsidRPr="008B2CC1">
              <w:rPr>
                <w:sz w:val="22"/>
              </w:rPr>
              <w:t>,</w:t>
            </w:r>
            <w:r w:rsidR="008B2CC1" w:rsidRPr="008B2CC1">
              <w:rPr>
                <w:sz w:val="22"/>
              </w:rPr>
              <w:t>706</w:t>
            </w:r>
          </w:p>
        </w:tc>
        <w:tc>
          <w:tcPr>
            <w:tcW w:w="1678" w:type="dxa"/>
            <w:tcBorders>
              <w:top w:val="nil"/>
              <w:left w:val="nil"/>
              <w:bottom w:val="nil"/>
              <w:right w:val="nil"/>
            </w:tcBorders>
            <w:vAlign w:val="bottom"/>
          </w:tcPr>
          <w:p w:rsidR="00BC600D" w:rsidRPr="006204B5" w:rsidRDefault="006204B5" w:rsidP="006204B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204B5">
              <w:rPr>
                <w:sz w:val="22"/>
              </w:rPr>
              <w:t>19</w:t>
            </w:r>
            <w:r w:rsidR="00BC600D" w:rsidRPr="006204B5">
              <w:rPr>
                <w:sz w:val="22"/>
              </w:rPr>
              <w:t>,</w:t>
            </w:r>
            <w:r w:rsidRPr="006204B5">
              <w:rPr>
                <w:sz w:val="22"/>
              </w:rPr>
              <w:t>278</w:t>
            </w:r>
          </w:p>
        </w:tc>
      </w:tr>
      <w:tr w:rsidR="00BC600D" w:rsidRPr="0053635E" w:rsidTr="00E92361">
        <w:trPr>
          <w:cantSplit/>
          <w:jc w:val="center"/>
        </w:trPr>
        <w:tc>
          <w:tcPr>
            <w:tcW w:w="5283" w:type="dxa"/>
            <w:tcBorders>
              <w:top w:val="nil"/>
              <w:left w:val="nil"/>
              <w:bottom w:val="nil"/>
              <w:right w:val="nil"/>
            </w:tcBorders>
          </w:tcPr>
          <w:p w:rsidR="00BC600D" w:rsidRPr="006204B5" w:rsidRDefault="00BC600D" w:rsidP="00E92361">
            <w:pPr>
              <w:widowControl/>
              <w:suppressAutoHyphens/>
              <w:spacing w:after="20"/>
              <w:ind w:left="200" w:hanging="200"/>
              <w:rPr>
                <w:sz w:val="22"/>
              </w:rPr>
            </w:pPr>
            <w:r w:rsidRPr="006204B5">
              <w:rPr>
                <w:sz w:val="22"/>
              </w:rPr>
              <w:t>Capital lease obligations</w:t>
            </w:r>
            <w:r w:rsidRPr="006204B5">
              <w:rPr>
                <w:sz w:val="22"/>
              </w:rPr>
              <w:tab/>
            </w:r>
          </w:p>
        </w:tc>
        <w:tc>
          <w:tcPr>
            <w:tcW w:w="1779" w:type="dxa"/>
            <w:tcBorders>
              <w:top w:val="nil"/>
              <w:left w:val="nil"/>
              <w:bottom w:val="nil"/>
              <w:right w:val="nil"/>
            </w:tcBorders>
            <w:vAlign w:val="bottom"/>
          </w:tcPr>
          <w:p w:rsidR="00BC600D" w:rsidRPr="008B2CC1" w:rsidRDefault="00BC600D" w:rsidP="008B2CC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8B2CC1">
              <w:rPr>
                <w:sz w:val="22"/>
              </w:rPr>
              <w:t>1</w:t>
            </w:r>
            <w:r w:rsidR="008B2CC1" w:rsidRPr="008B2CC1">
              <w:rPr>
                <w:sz w:val="22"/>
              </w:rPr>
              <w:t>19</w:t>
            </w:r>
            <w:r w:rsidRPr="008B2CC1">
              <w:rPr>
                <w:sz w:val="22"/>
              </w:rPr>
              <w:t>,</w:t>
            </w:r>
            <w:r w:rsidR="008B2CC1" w:rsidRPr="008B2CC1">
              <w:rPr>
                <w:sz w:val="22"/>
              </w:rPr>
              <w:t>765</w:t>
            </w:r>
          </w:p>
        </w:tc>
        <w:tc>
          <w:tcPr>
            <w:tcW w:w="1678" w:type="dxa"/>
            <w:tcBorders>
              <w:top w:val="nil"/>
              <w:left w:val="nil"/>
              <w:bottom w:val="nil"/>
              <w:right w:val="nil"/>
            </w:tcBorders>
            <w:vAlign w:val="bottom"/>
          </w:tcPr>
          <w:p w:rsidR="00BC600D" w:rsidRPr="006204B5" w:rsidRDefault="00BC600D" w:rsidP="006204B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204B5">
              <w:rPr>
                <w:sz w:val="22"/>
              </w:rPr>
              <w:t>1</w:t>
            </w:r>
            <w:r w:rsidR="006204B5" w:rsidRPr="006204B5">
              <w:rPr>
                <w:sz w:val="22"/>
              </w:rPr>
              <w:t>31</w:t>
            </w:r>
            <w:r w:rsidRPr="006204B5">
              <w:rPr>
                <w:sz w:val="22"/>
              </w:rPr>
              <w:t>,</w:t>
            </w:r>
            <w:r w:rsidR="006204B5" w:rsidRPr="006204B5">
              <w:rPr>
                <w:sz w:val="22"/>
              </w:rPr>
              <w:t>859</w:t>
            </w:r>
          </w:p>
        </w:tc>
      </w:tr>
      <w:tr w:rsidR="00BC600D" w:rsidRPr="0053635E" w:rsidTr="00E92361">
        <w:trPr>
          <w:cantSplit/>
          <w:jc w:val="center"/>
        </w:trPr>
        <w:tc>
          <w:tcPr>
            <w:tcW w:w="5283" w:type="dxa"/>
            <w:tcBorders>
              <w:top w:val="nil"/>
              <w:left w:val="nil"/>
              <w:bottom w:val="nil"/>
              <w:right w:val="nil"/>
            </w:tcBorders>
          </w:tcPr>
          <w:p w:rsidR="00BC600D" w:rsidRPr="006204B5" w:rsidRDefault="00BC600D" w:rsidP="00E92361">
            <w:pPr>
              <w:widowControl/>
              <w:suppressAutoHyphens/>
              <w:ind w:left="200" w:hanging="200"/>
              <w:rPr>
                <w:sz w:val="22"/>
              </w:rPr>
            </w:pPr>
            <w:r w:rsidRPr="006204B5">
              <w:rPr>
                <w:sz w:val="22"/>
              </w:rPr>
              <w:t>Total debt</w:t>
            </w:r>
            <w:r w:rsidRPr="006204B5">
              <w:rPr>
                <w:sz w:val="22"/>
              </w:rPr>
              <w:tab/>
            </w:r>
          </w:p>
        </w:tc>
        <w:tc>
          <w:tcPr>
            <w:tcW w:w="1779" w:type="dxa"/>
            <w:tcBorders>
              <w:top w:val="nil"/>
              <w:left w:val="nil"/>
              <w:bottom w:val="nil"/>
              <w:right w:val="nil"/>
            </w:tcBorders>
            <w:vAlign w:val="bottom"/>
          </w:tcPr>
          <w:p w:rsidR="00BC600D" w:rsidRPr="008B2CC1" w:rsidRDefault="00BC600D" w:rsidP="008B2CC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B2CC1">
              <w:rPr>
                <w:sz w:val="22"/>
              </w:rPr>
              <w:t>1,1</w:t>
            </w:r>
            <w:r w:rsidR="008B2CC1" w:rsidRPr="008B2CC1">
              <w:rPr>
                <w:sz w:val="22"/>
              </w:rPr>
              <w:t>45</w:t>
            </w:r>
            <w:r w:rsidRPr="008B2CC1">
              <w:rPr>
                <w:sz w:val="22"/>
              </w:rPr>
              <w:t>,</w:t>
            </w:r>
            <w:r w:rsidR="008B2CC1" w:rsidRPr="008B2CC1">
              <w:rPr>
                <w:sz w:val="22"/>
              </w:rPr>
              <w:t>471</w:t>
            </w:r>
          </w:p>
        </w:tc>
        <w:tc>
          <w:tcPr>
            <w:tcW w:w="1678" w:type="dxa"/>
            <w:tcBorders>
              <w:top w:val="nil"/>
              <w:left w:val="nil"/>
              <w:bottom w:val="nil"/>
              <w:right w:val="nil"/>
            </w:tcBorders>
            <w:vAlign w:val="bottom"/>
          </w:tcPr>
          <w:p w:rsidR="00BC600D" w:rsidRPr="006204B5" w:rsidRDefault="00BC600D" w:rsidP="006204B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204B5">
              <w:rPr>
                <w:sz w:val="22"/>
              </w:rPr>
              <w:t>1,1</w:t>
            </w:r>
            <w:r w:rsidR="006204B5" w:rsidRPr="006204B5">
              <w:rPr>
                <w:sz w:val="22"/>
              </w:rPr>
              <w:t>64</w:t>
            </w:r>
            <w:r w:rsidRPr="006204B5">
              <w:rPr>
                <w:sz w:val="22"/>
              </w:rPr>
              <w:t>,</w:t>
            </w:r>
            <w:r w:rsidR="006204B5" w:rsidRPr="006204B5">
              <w:rPr>
                <w:sz w:val="22"/>
              </w:rPr>
              <w:t>137</w:t>
            </w:r>
          </w:p>
        </w:tc>
      </w:tr>
      <w:tr w:rsidR="00BC600D" w:rsidRPr="0053635E" w:rsidTr="00E92361">
        <w:trPr>
          <w:cantSplit/>
          <w:jc w:val="center"/>
        </w:trPr>
        <w:tc>
          <w:tcPr>
            <w:tcW w:w="5283" w:type="dxa"/>
            <w:tcBorders>
              <w:top w:val="nil"/>
              <w:left w:val="nil"/>
              <w:bottom w:val="nil"/>
              <w:right w:val="nil"/>
            </w:tcBorders>
          </w:tcPr>
          <w:p w:rsidR="00BC600D" w:rsidRPr="006204B5" w:rsidRDefault="00BC600D" w:rsidP="00E92361">
            <w:pPr>
              <w:widowControl/>
              <w:suppressAutoHyphens/>
              <w:spacing w:after="20"/>
              <w:ind w:left="200" w:hanging="200"/>
              <w:rPr>
                <w:sz w:val="22"/>
              </w:rPr>
            </w:pPr>
            <w:r w:rsidRPr="006204B5">
              <w:rPr>
                <w:sz w:val="22"/>
              </w:rPr>
              <w:t>Less current maturities</w:t>
            </w:r>
            <w:r w:rsidRPr="006204B5">
              <w:rPr>
                <w:sz w:val="22"/>
              </w:rPr>
              <w:tab/>
            </w:r>
          </w:p>
        </w:tc>
        <w:tc>
          <w:tcPr>
            <w:tcW w:w="1779" w:type="dxa"/>
            <w:tcBorders>
              <w:top w:val="nil"/>
              <w:left w:val="nil"/>
              <w:bottom w:val="nil"/>
              <w:right w:val="nil"/>
            </w:tcBorders>
            <w:vAlign w:val="bottom"/>
          </w:tcPr>
          <w:p w:rsidR="00BC600D" w:rsidRPr="008B2CC1" w:rsidRDefault="00BC600D" w:rsidP="009A0C1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8B2CC1">
              <w:rPr>
                <w:sz w:val="22"/>
              </w:rPr>
              <w:t>(</w:t>
            </w:r>
            <w:r w:rsidR="009A0C1F">
              <w:rPr>
                <w:sz w:val="22"/>
              </w:rPr>
              <w:t>37</w:t>
            </w:r>
            <w:r w:rsidRPr="008B2CC1">
              <w:rPr>
                <w:sz w:val="22"/>
              </w:rPr>
              <w:t>,</w:t>
            </w:r>
            <w:r w:rsidR="009A0C1F">
              <w:rPr>
                <w:sz w:val="22"/>
              </w:rPr>
              <w:t>743</w:t>
            </w:r>
            <w:r w:rsidRPr="008B2CC1">
              <w:rPr>
                <w:sz w:val="22"/>
              </w:rPr>
              <w:t>)</w:t>
            </w:r>
          </w:p>
        </w:tc>
        <w:tc>
          <w:tcPr>
            <w:tcW w:w="1678" w:type="dxa"/>
            <w:tcBorders>
              <w:top w:val="nil"/>
              <w:left w:val="nil"/>
              <w:bottom w:val="nil"/>
              <w:right w:val="nil"/>
            </w:tcBorders>
            <w:vAlign w:val="bottom"/>
          </w:tcPr>
          <w:p w:rsidR="00BC600D" w:rsidRPr="006204B5" w:rsidRDefault="00BC600D" w:rsidP="006204B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204B5">
              <w:rPr>
                <w:sz w:val="22"/>
              </w:rPr>
              <w:t>(</w:t>
            </w:r>
            <w:r w:rsidR="006204B5" w:rsidRPr="006204B5">
              <w:rPr>
                <w:sz w:val="22"/>
              </w:rPr>
              <w:t>34</w:t>
            </w:r>
            <w:r w:rsidRPr="006204B5">
              <w:rPr>
                <w:sz w:val="22"/>
              </w:rPr>
              <w:t>,</w:t>
            </w:r>
            <w:r w:rsidR="006204B5" w:rsidRPr="006204B5">
              <w:rPr>
                <w:sz w:val="22"/>
              </w:rPr>
              <w:t>029</w:t>
            </w:r>
            <w:r w:rsidRPr="006204B5">
              <w:rPr>
                <w:sz w:val="22"/>
              </w:rPr>
              <w:t>)</w:t>
            </w:r>
          </w:p>
        </w:tc>
      </w:tr>
      <w:tr w:rsidR="00BC600D" w:rsidRPr="0053635E" w:rsidTr="00E92361">
        <w:trPr>
          <w:cantSplit/>
          <w:jc w:val="center"/>
        </w:trPr>
        <w:tc>
          <w:tcPr>
            <w:tcW w:w="5283" w:type="dxa"/>
            <w:tcBorders>
              <w:top w:val="nil"/>
              <w:left w:val="nil"/>
              <w:bottom w:val="nil"/>
              <w:right w:val="nil"/>
            </w:tcBorders>
          </w:tcPr>
          <w:p w:rsidR="00BC600D" w:rsidRPr="006204B5" w:rsidRDefault="00BC600D" w:rsidP="00E92361">
            <w:pPr>
              <w:widowControl/>
              <w:suppressAutoHyphens/>
              <w:spacing w:after="40"/>
              <w:ind w:left="200" w:hanging="200"/>
              <w:rPr>
                <w:sz w:val="22"/>
              </w:rPr>
            </w:pPr>
            <w:r w:rsidRPr="006204B5">
              <w:rPr>
                <w:sz w:val="22"/>
              </w:rPr>
              <w:t>Long-term debt, less current maturities</w:t>
            </w:r>
            <w:r w:rsidRPr="006204B5">
              <w:rPr>
                <w:sz w:val="22"/>
              </w:rPr>
              <w:tab/>
            </w:r>
          </w:p>
        </w:tc>
        <w:tc>
          <w:tcPr>
            <w:tcW w:w="1779" w:type="dxa"/>
            <w:tcBorders>
              <w:top w:val="nil"/>
              <w:left w:val="nil"/>
              <w:bottom w:val="nil"/>
              <w:right w:val="nil"/>
            </w:tcBorders>
            <w:vAlign w:val="bottom"/>
          </w:tcPr>
          <w:p w:rsidR="00BC600D" w:rsidRPr="008B2CC1" w:rsidRDefault="00BC600D" w:rsidP="009A0C1F">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8B2CC1">
              <w:rPr>
                <w:sz w:val="22"/>
              </w:rPr>
              <w:t>$</w:t>
            </w:r>
            <w:r w:rsidR="00E92361" w:rsidRPr="008B2CC1">
              <w:rPr>
                <w:sz w:val="22"/>
              </w:rPr>
              <w:t xml:space="preserve">           </w:t>
            </w:r>
            <w:r w:rsidRPr="008B2CC1">
              <w:rPr>
                <w:sz w:val="22"/>
              </w:rPr>
              <w:t>1,</w:t>
            </w:r>
            <w:r w:rsidR="00B211E5" w:rsidRPr="008B2CC1">
              <w:rPr>
                <w:sz w:val="22"/>
              </w:rPr>
              <w:t>1</w:t>
            </w:r>
            <w:r w:rsidR="009A0C1F">
              <w:rPr>
                <w:sz w:val="22"/>
              </w:rPr>
              <w:t>07</w:t>
            </w:r>
            <w:r w:rsidRPr="008B2CC1">
              <w:rPr>
                <w:sz w:val="22"/>
              </w:rPr>
              <w:t>,</w:t>
            </w:r>
            <w:r w:rsidR="009A0C1F">
              <w:rPr>
                <w:sz w:val="22"/>
              </w:rPr>
              <w:t>728</w:t>
            </w:r>
          </w:p>
        </w:tc>
        <w:tc>
          <w:tcPr>
            <w:tcW w:w="1678" w:type="dxa"/>
            <w:tcBorders>
              <w:top w:val="nil"/>
              <w:left w:val="nil"/>
              <w:bottom w:val="nil"/>
              <w:right w:val="nil"/>
            </w:tcBorders>
            <w:vAlign w:val="bottom"/>
          </w:tcPr>
          <w:p w:rsidR="00BC600D" w:rsidRPr="006204B5" w:rsidRDefault="00BC600D" w:rsidP="006204B5">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6204B5">
              <w:rPr>
                <w:sz w:val="22"/>
              </w:rPr>
              <w:t>$</w:t>
            </w:r>
            <w:r w:rsidR="00E92361" w:rsidRPr="006204B5">
              <w:rPr>
                <w:sz w:val="22"/>
              </w:rPr>
              <w:t xml:space="preserve">         </w:t>
            </w:r>
            <w:r w:rsidRPr="006204B5">
              <w:rPr>
                <w:sz w:val="22"/>
              </w:rPr>
              <w:t>1,</w:t>
            </w:r>
            <w:r w:rsidR="006204B5" w:rsidRPr="006204B5">
              <w:rPr>
                <w:sz w:val="22"/>
              </w:rPr>
              <w:t>130</w:t>
            </w:r>
            <w:r w:rsidRPr="006204B5">
              <w:rPr>
                <w:sz w:val="22"/>
              </w:rPr>
              <w:t>,</w:t>
            </w:r>
            <w:r w:rsidR="006204B5" w:rsidRPr="006204B5">
              <w:rPr>
                <w:sz w:val="22"/>
              </w:rPr>
              <w:t>108</w:t>
            </w:r>
          </w:p>
        </w:tc>
      </w:tr>
    </w:tbl>
    <w:p w:rsidR="002D48C7" w:rsidRDefault="002D48C7" w:rsidP="002D48C7">
      <w:pPr>
        <w:keepNext/>
        <w:keepLines/>
        <w:widowControl/>
        <w:tabs>
          <w:tab w:val="left" w:pos="-720"/>
          <w:tab w:val="left" w:pos="720"/>
          <w:tab w:val="left" w:pos="1440"/>
        </w:tabs>
        <w:suppressAutoHyphens/>
        <w:spacing w:after="240"/>
        <w:rPr>
          <w:b/>
          <w:bCs/>
          <w:sz w:val="22"/>
        </w:rPr>
      </w:pPr>
      <w:r w:rsidRPr="006204B5">
        <w:rPr>
          <w:b/>
          <w:bCs/>
          <w:sz w:val="22"/>
        </w:rPr>
        <w:lastRenderedPageBreak/>
        <w:t>5. Borrowings</w:t>
      </w:r>
      <w:r>
        <w:rPr>
          <w:b/>
          <w:bCs/>
          <w:sz w:val="22"/>
        </w:rPr>
        <w:t xml:space="preserve"> (continued)</w:t>
      </w:r>
    </w:p>
    <w:p w:rsidR="00ED352D" w:rsidRDefault="002D48C7" w:rsidP="00293907">
      <w:pPr>
        <w:keepNext/>
        <w:keepLines/>
        <w:widowControl/>
        <w:tabs>
          <w:tab w:val="left" w:pos="-720"/>
          <w:tab w:val="left" w:pos="720"/>
          <w:tab w:val="left" w:pos="1440"/>
        </w:tabs>
        <w:suppressAutoHyphens/>
        <w:spacing w:after="240"/>
        <w:jc w:val="both"/>
        <w:rPr>
          <w:sz w:val="22"/>
        </w:rPr>
      </w:pPr>
      <w:r>
        <w:rPr>
          <w:b/>
          <w:bCs/>
          <w:sz w:val="22"/>
        </w:rPr>
        <w:tab/>
      </w:r>
      <w:r w:rsidR="00CA14BE" w:rsidRPr="00D81F6C">
        <w:rPr>
          <w:sz w:val="22"/>
        </w:rPr>
        <w:t>The Company</w:t>
      </w:r>
      <w:r w:rsidR="00744A72" w:rsidRPr="00D81F6C">
        <w:rPr>
          <w:sz w:val="22"/>
        </w:rPr>
        <w:t>’</w:t>
      </w:r>
      <w:r w:rsidR="00CA14BE" w:rsidRPr="00D81F6C">
        <w:rPr>
          <w:sz w:val="22"/>
        </w:rPr>
        <w:t>s debt consisted of notes, loans</w:t>
      </w:r>
      <w:r w:rsidR="00507E43" w:rsidRPr="00D81F6C">
        <w:rPr>
          <w:sz w:val="22"/>
        </w:rPr>
        <w:t xml:space="preserve"> </w:t>
      </w:r>
      <w:r w:rsidR="00CA14BE" w:rsidRPr="00D81F6C">
        <w:rPr>
          <w:sz w:val="22"/>
        </w:rPr>
        <w:t>and capital lease obligations payable in varying amounts through 2021, with a weighted</w:t>
      </w:r>
      <w:r w:rsidR="00CA14BE" w:rsidRPr="00D81F6C">
        <w:rPr>
          <w:sz w:val="22"/>
        </w:rPr>
        <w:noBreakHyphen/>
        <w:t>average interest rate of 6.</w:t>
      </w:r>
      <w:r w:rsidR="00D81F6C">
        <w:rPr>
          <w:sz w:val="22"/>
        </w:rPr>
        <w:t>11</w:t>
      </w:r>
      <w:r w:rsidR="00CA14BE" w:rsidRPr="00D81F6C">
        <w:rPr>
          <w:sz w:val="22"/>
        </w:rPr>
        <w:t>%</w:t>
      </w:r>
      <w:r w:rsidR="00507E43" w:rsidRPr="00D81F6C">
        <w:rPr>
          <w:sz w:val="22"/>
        </w:rPr>
        <w:t xml:space="preserve"> </w:t>
      </w:r>
      <w:r w:rsidR="00CA14BE" w:rsidRPr="00D81F6C">
        <w:rPr>
          <w:sz w:val="22"/>
        </w:rPr>
        <w:t>for the year ended December 31, 201</w:t>
      </w:r>
      <w:r w:rsidR="00D81F6C">
        <w:rPr>
          <w:sz w:val="22"/>
        </w:rPr>
        <w:t>3</w:t>
      </w:r>
      <w:r w:rsidR="00507E43" w:rsidRPr="00D81F6C">
        <w:rPr>
          <w:sz w:val="22"/>
        </w:rPr>
        <w:t>.  For</w:t>
      </w:r>
      <w:r w:rsidR="00860339" w:rsidRPr="00D81F6C">
        <w:rPr>
          <w:sz w:val="22"/>
        </w:rPr>
        <w:t xml:space="preserve"> </w:t>
      </w:r>
      <w:r w:rsidR="00507E43" w:rsidRPr="00D81F6C">
        <w:rPr>
          <w:sz w:val="22"/>
        </w:rPr>
        <w:t xml:space="preserve">the </w:t>
      </w:r>
      <w:r w:rsidR="00D81F6C">
        <w:rPr>
          <w:sz w:val="22"/>
        </w:rPr>
        <w:t>three</w:t>
      </w:r>
      <w:r w:rsidR="00507E43" w:rsidRPr="00D81F6C">
        <w:rPr>
          <w:sz w:val="22"/>
        </w:rPr>
        <w:t xml:space="preserve"> months ended </w:t>
      </w:r>
      <w:r w:rsidR="00D81F6C">
        <w:rPr>
          <w:sz w:val="22"/>
        </w:rPr>
        <w:t>March</w:t>
      </w:r>
      <w:r w:rsidR="00507E43" w:rsidRPr="00D81F6C">
        <w:rPr>
          <w:sz w:val="22"/>
        </w:rPr>
        <w:t xml:space="preserve"> 3</w:t>
      </w:r>
      <w:r w:rsidR="00D81F6C">
        <w:rPr>
          <w:sz w:val="22"/>
        </w:rPr>
        <w:t>1</w:t>
      </w:r>
      <w:r w:rsidR="00507E43" w:rsidRPr="00D81F6C">
        <w:rPr>
          <w:sz w:val="22"/>
        </w:rPr>
        <w:t>, 201</w:t>
      </w:r>
      <w:r w:rsidR="00D81F6C">
        <w:rPr>
          <w:sz w:val="22"/>
        </w:rPr>
        <w:t>4</w:t>
      </w:r>
      <w:r w:rsidR="00507E43" w:rsidRPr="00D81F6C">
        <w:rPr>
          <w:sz w:val="22"/>
        </w:rPr>
        <w:t xml:space="preserve"> and 201</w:t>
      </w:r>
      <w:r w:rsidR="00D81F6C">
        <w:rPr>
          <w:sz w:val="22"/>
        </w:rPr>
        <w:t>3</w:t>
      </w:r>
      <w:r w:rsidR="00507E43" w:rsidRPr="00D81F6C">
        <w:rPr>
          <w:sz w:val="22"/>
        </w:rPr>
        <w:t>, the</w:t>
      </w:r>
      <w:r w:rsidR="00860339" w:rsidRPr="00D81F6C">
        <w:rPr>
          <w:sz w:val="22"/>
        </w:rPr>
        <w:t xml:space="preserve"> weighted-average interest rate</w:t>
      </w:r>
      <w:r w:rsidR="00507E43" w:rsidRPr="00D81F6C">
        <w:rPr>
          <w:sz w:val="22"/>
        </w:rPr>
        <w:t xml:space="preserve"> </w:t>
      </w:r>
      <w:r w:rsidR="00507E43" w:rsidRPr="00FB6264">
        <w:rPr>
          <w:sz w:val="22"/>
        </w:rPr>
        <w:t>w</w:t>
      </w:r>
      <w:r w:rsidR="00860339" w:rsidRPr="00FB6264">
        <w:rPr>
          <w:sz w:val="22"/>
        </w:rPr>
        <w:t>as</w:t>
      </w:r>
      <w:r w:rsidR="00507E43" w:rsidRPr="00FB6264">
        <w:rPr>
          <w:sz w:val="22"/>
        </w:rPr>
        <w:t xml:space="preserve"> </w:t>
      </w:r>
      <w:r w:rsidR="00FB6264" w:rsidRPr="00FB6264">
        <w:rPr>
          <w:sz w:val="22"/>
        </w:rPr>
        <w:t>6.05</w:t>
      </w:r>
      <w:r w:rsidR="00507E43" w:rsidRPr="00FB6264">
        <w:rPr>
          <w:sz w:val="22"/>
        </w:rPr>
        <w:t>%</w:t>
      </w:r>
      <w:r w:rsidR="00C8057F" w:rsidRPr="00FB6264">
        <w:rPr>
          <w:sz w:val="22"/>
        </w:rPr>
        <w:t xml:space="preserve"> and 6.</w:t>
      </w:r>
      <w:r w:rsidR="00D81F6C" w:rsidRPr="00FB6264">
        <w:rPr>
          <w:sz w:val="22"/>
        </w:rPr>
        <w:t>24</w:t>
      </w:r>
      <w:r w:rsidR="00C8057F" w:rsidRPr="00D81F6C">
        <w:rPr>
          <w:sz w:val="22"/>
        </w:rPr>
        <w:t>%, respectively</w:t>
      </w:r>
      <w:r w:rsidR="00507E43" w:rsidRPr="00D81F6C">
        <w:rPr>
          <w:sz w:val="22"/>
        </w:rPr>
        <w:t>.</w:t>
      </w:r>
      <w:r w:rsidR="00CA14BE" w:rsidRPr="00D81F6C">
        <w:rPr>
          <w:sz w:val="22"/>
        </w:rPr>
        <w:t xml:space="preserve"> </w:t>
      </w:r>
      <w:r w:rsidR="00C8057F" w:rsidRPr="00D81F6C">
        <w:rPr>
          <w:sz w:val="22"/>
        </w:rPr>
        <w:t xml:space="preserve"> </w:t>
      </w:r>
      <w:r w:rsidR="00CA14BE" w:rsidRPr="00D81F6C">
        <w:rPr>
          <w:sz w:val="22"/>
        </w:rPr>
        <w:t>The weighted</w:t>
      </w:r>
      <w:r w:rsidR="00CA14BE" w:rsidRPr="00D81F6C">
        <w:rPr>
          <w:sz w:val="22"/>
        </w:rPr>
        <w:noBreakHyphen/>
        <w:t xml:space="preserve">average interest rates disclosed are calculated as </w:t>
      </w:r>
      <w:r w:rsidR="00744A72" w:rsidRPr="00D81F6C">
        <w:rPr>
          <w:sz w:val="22"/>
        </w:rPr>
        <w:t>“</w:t>
      </w:r>
      <w:r w:rsidR="00CA14BE" w:rsidRPr="00D81F6C">
        <w:rPr>
          <w:sz w:val="22"/>
        </w:rPr>
        <w:t>all</w:t>
      </w:r>
      <w:r w:rsidR="00744A72" w:rsidRPr="00D81F6C">
        <w:rPr>
          <w:sz w:val="22"/>
        </w:rPr>
        <w:t>-</w:t>
      </w:r>
      <w:r w:rsidR="00CA14BE" w:rsidRPr="00D81F6C">
        <w:rPr>
          <w:sz w:val="22"/>
        </w:rPr>
        <w:t>in</w:t>
      </w:r>
      <w:r w:rsidR="00744A72" w:rsidRPr="00D81F6C">
        <w:rPr>
          <w:sz w:val="22"/>
        </w:rPr>
        <w:t>”</w:t>
      </w:r>
      <w:r w:rsidR="00CA14BE" w:rsidRPr="00D81F6C">
        <w:rPr>
          <w:sz w:val="22"/>
        </w:rPr>
        <w:t xml:space="preserve"> rates which include </w:t>
      </w:r>
      <w:r w:rsidR="007E4B1C">
        <w:rPr>
          <w:sz w:val="22"/>
        </w:rPr>
        <w:t xml:space="preserve">cash </w:t>
      </w:r>
      <w:r w:rsidR="00CA14BE" w:rsidRPr="00D81F6C">
        <w:rPr>
          <w:sz w:val="22"/>
        </w:rPr>
        <w:t>interest expense and amortization of agents</w:t>
      </w:r>
      <w:r w:rsidR="00744A72" w:rsidRPr="00D81F6C">
        <w:rPr>
          <w:sz w:val="22"/>
        </w:rPr>
        <w:t>’</w:t>
      </w:r>
      <w:r w:rsidR="00CA14BE" w:rsidRPr="00D81F6C">
        <w:rPr>
          <w:sz w:val="22"/>
        </w:rPr>
        <w:t xml:space="preserve"> fees and deferred financing fees.</w:t>
      </w:r>
    </w:p>
    <w:p w:rsidR="000E2D5C" w:rsidRPr="002D48C7" w:rsidRDefault="0008392F" w:rsidP="00293907">
      <w:pPr>
        <w:widowControl/>
        <w:tabs>
          <w:tab w:val="left" w:pos="-720"/>
        </w:tabs>
        <w:suppressAutoHyphens/>
        <w:spacing w:after="240"/>
        <w:ind w:firstLine="720"/>
        <w:jc w:val="both"/>
        <w:rPr>
          <w:sz w:val="22"/>
        </w:rPr>
      </w:pPr>
      <w:r>
        <w:rPr>
          <w:sz w:val="22"/>
        </w:rPr>
        <w:t>I</w:t>
      </w:r>
      <w:r w:rsidRPr="003666A4">
        <w:rPr>
          <w:sz w:val="22"/>
        </w:rPr>
        <w:t>n early March,</w:t>
      </w:r>
      <w:r>
        <w:rPr>
          <w:sz w:val="22"/>
        </w:rPr>
        <w:t xml:space="preserve"> 2014,</w:t>
      </w:r>
      <w:r w:rsidRPr="003666A4">
        <w:rPr>
          <w:sz w:val="22"/>
        </w:rPr>
        <w:t xml:space="preserve"> the Company exercised purchase options </w:t>
      </w:r>
      <w:r>
        <w:rPr>
          <w:sz w:val="22"/>
        </w:rPr>
        <w:t>from maturing capital leases</w:t>
      </w:r>
      <w:r w:rsidRPr="003666A4">
        <w:rPr>
          <w:sz w:val="22"/>
        </w:rPr>
        <w:t xml:space="preserve"> for an aggregate price of $7,</w:t>
      </w:r>
      <w:r w:rsidRPr="0008392F">
        <w:rPr>
          <w:sz w:val="22"/>
        </w:rPr>
        <w:t xml:space="preserve">039. </w:t>
      </w:r>
    </w:p>
    <w:p w:rsidR="00EE20C6" w:rsidRPr="00784398" w:rsidRDefault="00784398" w:rsidP="00A91B63">
      <w:pPr>
        <w:widowControl/>
        <w:tabs>
          <w:tab w:val="left" w:pos="-720"/>
        </w:tabs>
        <w:suppressAutoHyphens/>
        <w:spacing w:after="240"/>
        <w:jc w:val="both"/>
        <w:rPr>
          <w:b/>
          <w:bCs/>
          <w:sz w:val="22"/>
        </w:rPr>
      </w:pPr>
      <w:r w:rsidRPr="00784398">
        <w:rPr>
          <w:b/>
          <w:bCs/>
          <w:sz w:val="22"/>
        </w:rPr>
        <w:t>6</w:t>
      </w:r>
      <w:r w:rsidR="00EE20C6" w:rsidRPr="00784398">
        <w:rPr>
          <w:b/>
          <w:bCs/>
          <w:sz w:val="22"/>
        </w:rPr>
        <w:t>. Derivatives and Hedging Activities</w:t>
      </w:r>
    </w:p>
    <w:p w:rsidR="00362345" w:rsidRDefault="00B4242C" w:rsidP="00B4242C">
      <w:pPr>
        <w:widowControl/>
        <w:tabs>
          <w:tab w:val="left" w:pos="-720"/>
        </w:tabs>
        <w:suppressAutoHyphens/>
        <w:spacing w:after="240"/>
        <w:jc w:val="both"/>
        <w:rPr>
          <w:sz w:val="22"/>
        </w:rPr>
      </w:pPr>
      <w:r w:rsidRPr="00784398">
        <w:rPr>
          <w:sz w:val="22"/>
        </w:rPr>
        <w:tab/>
      </w:r>
      <w:r w:rsidR="00CA14BE" w:rsidRPr="00784398">
        <w:rPr>
          <w:sz w:val="22"/>
        </w:rPr>
        <w:t>In the normal course of business, the Company utilize</w:t>
      </w:r>
      <w:r w:rsidRPr="00784398">
        <w:rPr>
          <w:sz w:val="22"/>
        </w:rPr>
        <w:t>s</w:t>
      </w:r>
      <w:r w:rsidR="00CA14BE" w:rsidRPr="00784398">
        <w:rPr>
          <w:sz w:val="22"/>
        </w:rPr>
        <w:t xml:space="preserve"> interest rate derivatives to manage its exposure to interest rate risks. Through the utilization of interest rate derivatives, the Company receive</w:t>
      </w:r>
      <w:r w:rsidRPr="00784398">
        <w:rPr>
          <w:sz w:val="22"/>
        </w:rPr>
        <w:t>s</w:t>
      </w:r>
      <w:r w:rsidR="00CA14BE" w:rsidRPr="00784398">
        <w:rPr>
          <w:sz w:val="22"/>
        </w:rPr>
        <w:t xml:space="preserve"> floating rate payments in exchange for fixed rate payments, effectively converting its floating rate debt to a fixed rate.</w:t>
      </w:r>
      <w:r w:rsidR="000E2D5C">
        <w:rPr>
          <w:sz w:val="22"/>
        </w:rPr>
        <w:t xml:space="preserve">  If certain conditions are met, an interest rate derivative may be specifically designated as a cash flow hedge.</w:t>
      </w:r>
      <w:r w:rsidR="00C23A93">
        <w:rPr>
          <w:sz w:val="22"/>
        </w:rPr>
        <w:t xml:space="preserve"> </w:t>
      </w:r>
      <w:r w:rsidR="004510C2">
        <w:rPr>
          <w:sz w:val="22"/>
        </w:rPr>
        <w:t xml:space="preserve">The Company’s interest rate derivative qualifies and has been designated as a cash flow hedge.  For the effective portion of the derivative gain or loss, changes in fair value are recorded in Accumulated other comprehensive income (loss) and subsequently reclassified into earnings when the interest payments on the debt are recorded in earnings.  </w:t>
      </w:r>
      <w:r w:rsidR="004510C2" w:rsidRPr="007344C5">
        <w:rPr>
          <w:sz w:val="22"/>
        </w:rPr>
        <w:t xml:space="preserve">The ineffective portion of the </w:t>
      </w:r>
      <w:r w:rsidR="004510C2">
        <w:rPr>
          <w:sz w:val="22"/>
        </w:rPr>
        <w:t>derivative gain or loss is</w:t>
      </w:r>
      <w:r w:rsidR="004510C2" w:rsidRPr="007344C5">
        <w:rPr>
          <w:sz w:val="22"/>
        </w:rPr>
        <w:t xml:space="preserve"> recorded in Interest expense in the Consolidated Statements of Operations</w:t>
      </w:r>
      <w:r w:rsidR="004510C2" w:rsidRPr="000B4EE6">
        <w:rPr>
          <w:sz w:val="22"/>
        </w:rPr>
        <w:t>.</w:t>
      </w:r>
      <w:r w:rsidR="004510C2">
        <w:rPr>
          <w:sz w:val="22"/>
        </w:rPr>
        <w:t xml:space="preserve"> </w:t>
      </w:r>
    </w:p>
    <w:p w:rsidR="006D3C0F" w:rsidRDefault="00B4242C" w:rsidP="00362345">
      <w:pPr>
        <w:widowControl/>
        <w:tabs>
          <w:tab w:val="left" w:pos="-720"/>
        </w:tabs>
        <w:suppressAutoHyphens/>
        <w:spacing w:after="240"/>
        <w:jc w:val="both"/>
        <w:rPr>
          <w:sz w:val="22"/>
        </w:rPr>
      </w:pPr>
      <w:r w:rsidRPr="00784398">
        <w:rPr>
          <w:sz w:val="22"/>
        </w:rPr>
        <w:tab/>
        <w:t>On January 10, 2013, the Company entered into a</w:t>
      </w:r>
      <w:r w:rsidR="00784398" w:rsidRPr="00784398">
        <w:rPr>
          <w:sz w:val="22"/>
        </w:rPr>
        <w:t>n</w:t>
      </w:r>
      <w:r w:rsidRPr="00784398">
        <w:rPr>
          <w:sz w:val="22"/>
        </w:rPr>
        <w:t xml:space="preserve"> interest rate swap transaction with Deutsche Bank AG effectively convert</w:t>
      </w:r>
      <w:r w:rsidR="00CA73FF" w:rsidRPr="00784398">
        <w:rPr>
          <w:sz w:val="22"/>
        </w:rPr>
        <w:t>ing</w:t>
      </w:r>
      <w:r w:rsidRPr="00784398">
        <w:rPr>
          <w:sz w:val="22"/>
        </w:rPr>
        <w:t xml:space="preserve"> $300,000 of variable rate debt based upon LIBOR into a fixed rate instrument</w:t>
      </w:r>
      <w:r w:rsidR="00CA73FF" w:rsidRPr="00784398">
        <w:rPr>
          <w:sz w:val="22"/>
        </w:rPr>
        <w:t>.  The Company receive</w:t>
      </w:r>
      <w:r w:rsidR="00784398" w:rsidRPr="00784398">
        <w:rPr>
          <w:sz w:val="22"/>
        </w:rPr>
        <w:t>s</w:t>
      </w:r>
      <w:r w:rsidR="00CA73FF" w:rsidRPr="00784398">
        <w:rPr>
          <w:sz w:val="22"/>
        </w:rPr>
        <w:t xml:space="preserve"> one month LIBOR</w:t>
      </w:r>
      <w:r w:rsidRPr="00784398">
        <w:rPr>
          <w:sz w:val="22"/>
        </w:rPr>
        <w:t xml:space="preserve"> with interest payable at a </w:t>
      </w:r>
      <w:r w:rsidR="00744FDE" w:rsidRPr="00784398">
        <w:rPr>
          <w:sz w:val="22"/>
        </w:rPr>
        <w:t>rate of 0.756%</w:t>
      </w:r>
      <w:r w:rsidRPr="00784398">
        <w:rPr>
          <w:sz w:val="22"/>
        </w:rPr>
        <w:t xml:space="preserve"> on the notional amount.</w:t>
      </w:r>
      <w:r w:rsidR="00E06F94" w:rsidRPr="00784398">
        <w:rPr>
          <w:sz w:val="22"/>
        </w:rPr>
        <w:t xml:space="preserve">  At </w:t>
      </w:r>
      <w:r w:rsidR="00784398" w:rsidRPr="00784398">
        <w:rPr>
          <w:sz w:val="22"/>
        </w:rPr>
        <w:t>March</w:t>
      </w:r>
      <w:r w:rsidR="00E06F94" w:rsidRPr="00784398">
        <w:rPr>
          <w:sz w:val="22"/>
        </w:rPr>
        <w:t xml:space="preserve"> 3</w:t>
      </w:r>
      <w:r w:rsidR="00784398" w:rsidRPr="00784398">
        <w:rPr>
          <w:sz w:val="22"/>
        </w:rPr>
        <w:t>1</w:t>
      </w:r>
      <w:r w:rsidR="00E06F94" w:rsidRPr="00784398">
        <w:rPr>
          <w:sz w:val="22"/>
        </w:rPr>
        <w:t>, 201</w:t>
      </w:r>
      <w:r w:rsidR="00784398" w:rsidRPr="00784398">
        <w:rPr>
          <w:sz w:val="22"/>
        </w:rPr>
        <w:t>4</w:t>
      </w:r>
      <w:r w:rsidR="00E06F94" w:rsidRPr="00784398">
        <w:rPr>
          <w:sz w:val="22"/>
        </w:rPr>
        <w:t xml:space="preserve">, one month LIBOR </w:t>
      </w:r>
      <w:r w:rsidR="00E06F94" w:rsidRPr="00A60909">
        <w:rPr>
          <w:sz w:val="22"/>
        </w:rPr>
        <w:t>was 0.1</w:t>
      </w:r>
      <w:r w:rsidR="00A60909" w:rsidRPr="00A60909">
        <w:rPr>
          <w:sz w:val="22"/>
        </w:rPr>
        <w:t>52</w:t>
      </w:r>
      <w:r w:rsidR="00E06F94" w:rsidRPr="00A60909">
        <w:rPr>
          <w:sz w:val="22"/>
        </w:rPr>
        <w:t xml:space="preserve">%.  </w:t>
      </w:r>
      <w:r w:rsidRPr="00A60909">
        <w:rPr>
          <w:sz w:val="22"/>
        </w:rPr>
        <w:t>The</w:t>
      </w:r>
      <w:r w:rsidRPr="00784398">
        <w:rPr>
          <w:sz w:val="22"/>
        </w:rPr>
        <w:t xml:space="preserve"> agreement terminates on August 9, 2017, in line with the termination date of the ABL Facility.</w:t>
      </w:r>
      <w:r w:rsidR="00362345">
        <w:rPr>
          <w:sz w:val="22"/>
        </w:rPr>
        <w:t xml:space="preserve">  </w:t>
      </w:r>
    </w:p>
    <w:p w:rsidR="006C6201" w:rsidRPr="00D22E9A" w:rsidRDefault="006D3C0F" w:rsidP="0060609B">
      <w:pPr>
        <w:widowControl/>
        <w:tabs>
          <w:tab w:val="left" w:pos="-720"/>
        </w:tabs>
        <w:suppressAutoHyphens/>
        <w:spacing w:after="240"/>
        <w:jc w:val="both"/>
        <w:rPr>
          <w:sz w:val="22"/>
        </w:rPr>
      </w:pPr>
      <w:r>
        <w:rPr>
          <w:sz w:val="22"/>
        </w:rPr>
        <w:tab/>
        <w:t>The company</w:t>
      </w:r>
      <w:r w:rsidR="0060609B">
        <w:rPr>
          <w:sz w:val="22"/>
        </w:rPr>
        <w:t xml:space="preserve">’s interest rate derivative involves counterparty credit risk.  As of March 31, 2014, the Company does not anticipate its counterparty will fail to meet their obligation.  As of March 31, 2014, there are no credit risk related contingent features in the Company’s derivative agreement.  </w:t>
      </w:r>
      <w:r w:rsidR="00B4242C" w:rsidRPr="00784398">
        <w:rPr>
          <w:sz w:val="22"/>
        </w:rPr>
        <w:t xml:space="preserve"> </w:t>
      </w:r>
      <w:r w:rsidR="00CA14BE" w:rsidRPr="00784398">
        <w:rPr>
          <w:sz w:val="22"/>
        </w:rPr>
        <w:t>For additional disclosures related to derivative instruments, see Note</w:t>
      </w:r>
      <w:r w:rsidR="001A3602" w:rsidRPr="00784398">
        <w:rPr>
          <w:sz w:val="22"/>
        </w:rPr>
        <w:t xml:space="preserve">s </w:t>
      </w:r>
      <w:r w:rsidR="00841B4D">
        <w:rPr>
          <w:sz w:val="22"/>
        </w:rPr>
        <w:t>9</w:t>
      </w:r>
      <w:r w:rsidR="001A3602" w:rsidRPr="00784398">
        <w:rPr>
          <w:sz w:val="22"/>
        </w:rPr>
        <w:t xml:space="preserve"> and</w:t>
      </w:r>
      <w:r w:rsidR="00CA14BE" w:rsidRPr="00784398">
        <w:rPr>
          <w:sz w:val="22"/>
        </w:rPr>
        <w:t> </w:t>
      </w:r>
      <w:r w:rsidR="00841B4D">
        <w:rPr>
          <w:sz w:val="22"/>
        </w:rPr>
        <w:t>1</w:t>
      </w:r>
      <w:r w:rsidR="00BC4AB6">
        <w:rPr>
          <w:sz w:val="22"/>
        </w:rPr>
        <w:t>3</w:t>
      </w:r>
      <w:r w:rsidR="00784398">
        <w:rPr>
          <w:sz w:val="22"/>
        </w:rPr>
        <w:t xml:space="preserve"> </w:t>
      </w:r>
      <w:r w:rsidR="00BC154B" w:rsidRPr="00784398">
        <w:rPr>
          <w:sz w:val="22"/>
        </w:rPr>
        <w:t xml:space="preserve">to the </w:t>
      </w:r>
      <w:r w:rsidR="00752A04">
        <w:rPr>
          <w:sz w:val="22"/>
        </w:rPr>
        <w:t>c</w:t>
      </w:r>
      <w:r w:rsidR="00BC154B" w:rsidRPr="00784398">
        <w:rPr>
          <w:sz w:val="22"/>
        </w:rPr>
        <w:t xml:space="preserve">onsolidated </w:t>
      </w:r>
      <w:r w:rsidR="00752A04">
        <w:rPr>
          <w:sz w:val="22"/>
        </w:rPr>
        <w:t>f</w:t>
      </w:r>
      <w:r w:rsidR="00BC154B" w:rsidRPr="00784398">
        <w:rPr>
          <w:sz w:val="22"/>
        </w:rPr>
        <w:t xml:space="preserve">inancial </w:t>
      </w:r>
      <w:r w:rsidR="00752A04">
        <w:rPr>
          <w:sz w:val="22"/>
        </w:rPr>
        <w:t>s</w:t>
      </w:r>
      <w:r w:rsidR="00BC154B" w:rsidRPr="00784398">
        <w:rPr>
          <w:sz w:val="22"/>
        </w:rPr>
        <w:t>tatements</w:t>
      </w:r>
      <w:r w:rsidR="00CA14BE" w:rsidRPr="00784398">
        <w:rPr>
          <w:sz w:val="22"/>
        </w:rPr>
        <w:t>.</w:t>
      </w:r>
    </w:p>
    <w:p w:rsidR="003C294E" w:rsidRPr="00D22E9A" w:rsidRDefault="003C294E" w:rsidP="0045376D">
      <w:pPr>
        <w:pStyle w:val="Body"/>
        <w:ind w:firstLine="720"/>
        <w:rPr>
          <w:sz w:val="22"/>
          <w:szCs w:val="22"/>
        </w:rPr>
      </w:pPr>
      <w:r w:rsidRPr="00D22E9A">
        <w:rPr>
          <w:sz w:val="22"/>
          <w:szCs w:val="22"/>
        </w:rPr>
        <w:t xml:space="preserve">The Company held the following interest rate derivative as of </w:t>
      </w:r>
      <w:r w:rsidR="00D22E9A" w:rsidRPr="00D22E9A">
        <w:rPr>
          <w:sz w:val="22"/>
          <w:szCs w:val="22"/>
        </w:rPr>
        <w:t>March</w:t>
      </w:r>
      <w:r w:rsidRPr="00D22E9A">
        <w:rPr>
          <w:sz w:val="22"/>
          <w:szCs w:val="22"/>
        </w:rPr>
        <w:t xml:space="preserve"> 3</w:t>
      </w:r>
      <w:r w:rsidR="00D22E9A" w:rsidRPr="00D22E9A">
        <w:rPr>
          <w:sz w:val="22"/>
          <w:szCs w:val="22"/>
        </w:rPr>
        <w:t>1</w:t>
      </w:r>
      <w:r w:rsidRPr="00D22E9A">
        <w:rPr>
          <w:sz w:val="22"/>
          <w:szCs w:val="22"/>
        </w:rPr>
        <w:t>, 201</w:t>
      </w:r>
      <w:r w:rsidR="00D22E9A" w:rsidRPr="00D22E9A">
        <w:rPr>
          <w:sz w:val="22"/>
          <w:szCs w:val="22"/>
        </w:rPr>
        <w:t>4</w:t>
      </w:r>
      <w:r w:rsidRPr="00D22E9A">
        <w:rPr>
          <w:sz w:val="22"/>
          <w:szCs w:val="22"/>
        </w:rPr>
        <w:t>:</w:t>
      </w:r>
    </w:p>
    <w:tbl>
      <w:tblPr>
        <w:tblW w:w="9835" w:type="dxa"/>
        <w:jc w:val="center"/>
        <w:tblInd w:w="-748" w:type="dxa"/>
        <w:tblLayout w:type="fixed"/>
        <w:tblCellMar>
          <w:left w:w="0" w:type="dxa"/>
          <w:right w:w="0" w:type="dxa"/>
        </w:tblCellMar>
        <w:tblLook w:val="01E0" w:firstRow="1" w:lastRow="1" w:firstColumn="1" w:lastColumn="1" w:noHBand="0" w:noVBand="0"/>
      </w:tblPr>
      <w:tblGrid>
        <w:gridCol w:w="1796"/>
        <w:gridCol w:w="1186"/>
        <w:gridCol w:w="1290"/>
        <w:gridCol w:w="1218"/>
        <w:gridCol w:w="1532"/>
        <w:gridCol w:w="1402"/>
        <w:gridCol w:w="1411"/>
      </w:tblGrid>
      <w:tr w:rsidR="00C42D5A" w:rsidRPr="00D22E9A" w:rsidTr="00C42D5A">
        <w:trPr>
          <w:trHeight w:val="153"/>
          <w:jc w:val="center"/>
        </w:trPr>
        <w:tc>
          <w:tcPr>
            <w:tcW w:w="1796" w:type="dxa"/>
          </w:tcPr>
          <w:p w:rsidR="00C42D5A" w:rsidRPr="00C42D5A" w:rsidRDefault="00C42D5A" w:rsidP="00C42D5A">
            <w:pPr>
              <w:pStyle w:val="chart-dollar"/>
              <w:tabs>
                <w:tab w:val="clear" w:pos="115"/>
                <w:tab w:val="clear" w:pos="1261"/>
              </w:tabs>
              <w:jc w:val="center"/>
              <w:rPr>
                <w:b/>
                <w:sz w:val="22"/>
                <w:szCs w:val="22"/>
              </w:rPr>
            </w:pPr>
          </w:p>
        </w:tc>
        <w:tc>
          <w:tcPr>
            <w:tcW w:w="1186" w:type="dxa"/>
          </w:tcPr>
          <w:p w:rsidR="00C42D5A" w:rsidRPr="00C42D5A" w:rsidRDefault="00C42D5A" w:rsidP="00C42D5A">
            <w:pPr>
              <w:pStyle w:val="chart-dollar"/>
              <w:tabs>
                <w:tab w:val="clear" w:pos="115"/>
                <w:tab w:val="clear" w:pos="1261"/>
                <w:tab w:val="decimal" w:pos="825"/>
              </w:tabs>
              <w:jc w:val="center"/>
              <w:rPr>
                <w:b/>
                <w:sz w:val="22"/>
                <w:szCs w:val="22"/>
              </w:rPr>
            </w:pPr>
            <w:r w:rsidRPr="00C42D5A">
              <w:rPr>
                <w:b/>
                <w:sz w:val="22"/>
                <w:szCs w:val="22"/>
              </w:rPr>
              <w:t>Notional</w:t>
            </w:r>
          </w:p>
        </w:tc>
        <w:tc>
          <w:tcPr>
            <w:tcW w:w="1290" w:type="dxa"/>
          </w:tcPr>
          <w:p w:rsidR="00C42D5A" w:rsidRPr="00C42D5A" w:rsidRDefault="00C42D5A" w:rsidP="00C42D5A">
            <w:pPr>
              <w:jc w:val="center"/>
              <w:rPr>
                <w:b/>
                <w:sz w:val="22"/>
              </w:rPr>
            </w:pPr>
            <w:r>
              <w:rPr>
                <w:b/>
                <w:sz w:val="22"/>
              </w:rPr>
              <w:t>Effective</w:t>
            </w:r>
          </w:p>
        </w:tc>
        <w:tc>
          <w:tcPr>
            <w:tcW w:w="1218" w:type="dxa"/>
          </w:tcPr>
          <w:p w:rsidR="00C42D5A" w:rsidRPr="00C42D5A" w:rsidRDefault="00C42D5A" w:rsidP="00C42D5A">
            <w:pPr>
              <w:jc w:val="center"/>
              <w:rPr>
                <w:b/>
                <w:sz w:val="22"/>
              </w:rPr>
            </w:pPr>
            <w:r>
              <w:rPr>
                <w:b/>
                <w:sz w:val="22"/>
              </w:rPr>
              <w:t>Maturity</w:t>
            </w:r>
          </w:p>
        </w:tc>
        <w:tc>
          <w:tcPr>
            <w:tcW w:w="1532" w:type="dxa"/>
          </w:tcPr>
          <w:p w:rsidR="00C42D5A" w:rsidRPr="00C42D5A" w:rsidRDefault="00C42D5A" w:rsidP="00C42D5A">
            <w:pPr>
              <w:tabs>
                <w:tab w:val="decimal" w:pos="172"/>
              </w:tabs>
              <w:jc w:val="center"/>
              <w:rPr>
                <w:b/>
                <w:sz w:val="22"/>
              </w:rPr>
            </w:pPr>
            <w:r>
              <w:rPr>
                <w:b/>
                <w:sz w:val="22"/>
              </w:rPr>
              <w:t>Floating</w:t>
            </w:r>
          </w:p>
        </w:tc>
        <w:tc>
          <w:tcPr>
            <w:tcW w:w="1402" w:type="dxa"/>
          </w:tcPr>
          <w:p w:rsidR="00C42D5A" w:rsidRPr="00C42D5A" w:rsidRDefault="00C42D5A" w:rsidP="00C42D5A">
            <w:pPr>
              <w:tabs>
                <w:tab w:val="decimal" w:pos="172"/>
              </w:tabs>
              <w:jc w:val="center"/>
              <w:rPr>
                <w:b/>
                <w:sz w:val="22"/>
              </w:rPr>
            </w:pPr>
            <w:r>
              <w:rPr>
                <w:b/>
                <w:sz w:val="22"/>
              </w:rPr>
              <w:t>Fixed Leg</w:t>
            </w:r>
          </w:p>
        </w:tc>
        <w:tc>
          <w:tcPr>
            <w:tcW w:w="1411" w:type="dxa"/>
          </w:tcPr>
          <w:p w:rsidR="00C42D5A" w:rsidRPr="00C42D5A" w:rsidRDefault="00C42D5A" w:rsidP="00C42D5A">
            <w:pPr>
              <w:pStyle w:val="chart-dollar"/>
              <w:tabs>
                <w:tab w:val="clear" w:pos="115"/>
                <w:tab w:val="clear" w:pos="1261"/>
                <w:tab w:val="decimal" w:pos="825"/>
              </w:tabs>
              <w:rPr>
                <w:b/>
                <w:sz w:val="22"/>
                <w:szCs w:val="22"/>
              </w:rPr>
            </w:pPr>
            <w:r>
              <w:rPr>
                <w:b/>
                <w:sz w:val="22"/>
                <w:szCs w:val="22"/>
              </w:rPr>
              <w:t>Fair</w:t>
            </w:r>
          </w:p>
        </w:tc>
      </w:tr>
      <w:tr w:rsidR="00C42D5A" w:rsidRPr="00D22E9A" w:rsidTr="00C42D5A">
        <w:trPr>
          <w:trHeight w:val="153"/>
          <w:jc w:val="center"/>
        </w:trPr>
        <w:tc>
          <w:tcPr>
            <w:tcW w:w="1796" w:type="dxa"/>
            <w:tcBorders>
              <w:bottom w:val="single" w:sz="4" w:space="0" w:color="auto"/>
            </w:tcBorders>
          </w:tcPr>
          <w:p w:rsidR="00C42D5A" w:rsidRPr="00C42D5A" w:rsidRDefault="00C42D5A" w:rsidP="00C42D5A">
            <w:pPr>
              <w:pStyle w:val="chart-dollar"/>
              <w:tabs>
                <w:tab w:val="clear" w:pos="115"/>
                <w:tab w:val="clear" w:pos="1261"/>
              </w:tabs>
              <w:jc w:val="center"/>
              <w:rPr>
                <w:b/>
                <w:sz w:val="22"/>
                <w:szCs w:val="22"/>
              </w:rPr>
            </w:pPr>
            <w:r w:rsidRPr="00C42D5A">
              <w:rPr>
                <w:b/>
                <w:sz w:val="22"/>
                <w:szCs w:val="22"/>
              </w:rPr>
              <w:t>Hedged Item</w:t>
            </w:r>
          </w:p>
        </w:tc>
        <w:tc>
          <w:tcPr>
            <w:tcW w:w="1186" w:type="dxa"/>
            <w:tcBorders>
              <w:bottom w:val="single" w:sz="4" w:space="0" w:color="auto"/>
            </w:tcBorders>
          </w:tcPr>
          <w:p w:rsidR="00C42D5A" w:rsidRPr="00C42D5A" w:rsidRDefault="00C42D5A" w:rsidP="00C42D5A">
            <w:pPr>
              <w:pStyle w:val="chart-dollar"/>
              <w:tabs>
                <w:tab w:val="clear" w:pos="115"/>
                <w:tab w:val="clear" w:pos="1261"/>
                <w:tab w:val="decimal" w:pos="825"/>
              </w:tabs>
              <w:jc w:val="center"/>
              <w:rPr>
                <w:b/>
                <w:sz w:val="22"/>
                <w:szCs w:val="22"/>
              </w:rPr>
            </w:pPr>
            <w:r w:rsidRPr="00C42D5A">
              <w:rPr>
                <w:b/>
                <w:sz w:val="22"/>
                <w:szCs w:val="22"/>
              </w:rPr>
              <w:t>Amount</w:t>
            </w:r>
          </w:p>
        </w:tc>
        <w:tc>
          <w:tcPr>
            <w:tcW w:w="1290" w:type="dxa"/>
            <w:tcBorders>
              <w:bottom w:val="single" w:sz="4" w:space="0" w:color="auto"/>
            </w:tcBorders>
          </w:tcPr>
          <w:p w:rsidR="00C42D5A" w:rsidRPr="00C42D5A" w:rsidRDefault="00C42D5A" w:rsidP="00C42D5A">
            <w:pPr>
              <w:jc w:val="center"/>
              <w:rPr>
                <w:b/>
                <w:sz w:val="22"/>
              </w:rPr>
            </w:pPr>
            <w:r>
              <w:rPr>
                <w:b/>
                <w:sz w:val="22"/>
              </w:rPr>
              <w:t>Date</w:t>
            </w:r>
          </w:p>
        </w:tc>
        <w:tc>
          <w:tcPr>
            <w:tcW w:w="1218" w:type="dxa"/>
            <w:tcBorders>
              <w:bottom w:val="single" w:sz="4" w:space="0" w:color="auto"/>
            </w:tcBorders>
          </w:tcPr>
          <w:p w:rsidR="00C42D5A" w:rsidRPr="00C42D5A" w:rsidRDefault="00C42D5A" w:rsidP="00C42D5A">
            <w:pPr>
              <w:jc w:val="center"/>
              <w:rPr>
                <w:b/>
                <w:sz w:val="22"/>
              </w:rPr>
            </w:pPr>
            <w:r>
              <w:rPr>
                <w:b/>
                <w:sz w:val="22"/>
              </w:rPr>
              <w:t>Date</w:t>
            </w:r>
          </w:p>
        </w:tc>
        <w:tc>
          <w:tcPr>
            <w:tcW w:w="1532" w:type="dxa"/>
            <w:tcBorders>
              <w:bottom w:val="single" w:sz="4" w:space="0" w:color="auto"/>
            </w:tcBorders>
          </w:tcPr>
          <w:p w:rsidR="00C42D5A" w:rsidRPr="00C42D5A" w:rsidRDefault="00C42D5A" w:rsidP="00C42D5A">
            <w:pPr>
              <w:tabs>
                <w:tab w:val="decimal" w:pos="172"/>
              </w:tabs>
              <w:jc w:val="center"/>
              <w:rPr>
                <w:b/>
                <w:sz w:val="22"/>
              </w:rPr>
            </w:pPr>
            <w:r>
              <w:rPr>
                <w:b/>
                <w:sz w:val="22"/>
              </w:rPr>
              <w:t>Rate</w:t>
            </w:r>
          </w:p>
        </w:tc>
        <w:tc>
          <w:tcPr>
            <w:tcW w:w="1402" w:type="dxa"/>
            <w:tcBorders>
              <w:bottom w:val="single" w:sz="4" w:space="0" w:color="auto"/>
            </w:tcBorders>
          </w:tcPr>
          <w:p w:rsidR="00C42D5A" w:rsidRPr="00C42D5A" w:rsidRDefault="00C42D5A" w:rsidP="00C42D5A">
            <w:pPr>
              <w:tabs>
                <w:tab w:val="decimal" w:pos="172"/>
              </w:tabs>
              <w:jc w:val="center"/>
              <w:rPr>
                <w:b/>
                <w:sz w:val="22"/>
              </w:rPr>
            </w:pPr>
            <w:r>
              <w:rPr>
                <w:b/>
                <w:sz w:val="22"/>
              </w:rPr>
              <w:t>Interest Rate</w:t>
            </w:r>
          </w:p>
        </w:tc>
        <w:tc>
          <w:tcPr>
            <w:tcW w:w="1411" w:type="dxa"/>
            <w:tcBorders>
              <w:bottom w:val="single" w:sz="4" w:space="0" w:color="auto"/>
            </w:tcBorders>
          </w:tcPr>
          <w:p w:rsidR="00C42D5A" w:rsidRPr="00C42D5A" w:rsidRDefault="00C42D5A" w:rsidP="00C42D5A">
            <w:pPr>
              <w:pStyle w:val="chart-dollar"/>
              <w:tabs>
                <w:tab w:val="clear" w:pos="115"/>
                <w:tab w:val="clear" w:pos="1261"/>
                <w:tab w:val="decimal" w:pos="825"/>
              </w:tabs>
              <w:rPr>
                <w:b/>
                <w:sz w:val="22"/>
                <w:szCs w:val="22"/>
              </w:rPr>
            </w:pPr>
            <w:r>
              <w:rPr>
                <w:b/>
                <w:sz w:val="22"/>
                <w:szCs w:val="22"/>
              </w:rPr>
              <w:t>Value Gain(a)</w:t>
            </w:r>
          </w:p>
        </w:tc>
      </w:tr>
      <w:tr w:rsidR="00C42D5A" w:rsidRPr="00841B4D" w:rsidTr="00C42D5A">
        <w:trPr>
          <w:trHeight w:val="153"/>
          <w:jc w:val="center"/>
        </w:trPr>
        <w:tc>
          <w:tcPr>
            <w:tcW w:w="1796" w:type="dxa"/>
            <w:tcBorders>
              <w:top w:val="single" w:sz="4" w:space="0" w:color="auto"/>
            </w:tcBorders>
            <w:vAlign w:val="bottom"/>
          </w:tcPr>
          <w:p w:rsidR="00C42D5A" w:rsidRPr="00D22E9A" w:rsidRDefault="00C42D5A" w:rsidP="00C74DF8">
            <w:pPr>
              <w:pStyle w:val="chart-dollar"/>
              <w:tabs>
                <w:tab w:val="clear" w:pos="115"/>
                <w:tab w:val="clear" w:pos="1261"/>
                <w:tab w:val="left" w:pos="80"/>
                <w:tab w:val="decimal" w:pos="998"/>
              </w:tabs>
              <w:rPr>
                <w:sz w:val="22"/>
                <w:szCs w:val="22"/>
              </w:rPr>
            </w:pPr>
            <w:r w:rsidRPr="00D22E9A">
              <w:rPr>
                <w:sz w:val="22"/>
                <w:szCs w:val="22"/>
              </w:rPr>
              <w:t>ABL Facility</w:t>
            </w:r>
          </w:p>
        </w:tc>
        <w:tc>
          <w:tcPr>
            <w:tcW w:w="1186" w:type="dxa"/>
            <w:tcBorders>
              <w:top w:val="single" w:sz="4" w:space="0" w:color="auto"/>
            </w:tcBorders>
            <w:vAlign w:val="bottom"/>
          </w:tcPr>
          <w:p w:rsidR="00C42D5A" w:rsidRPr="00D22E9A" w:rsidRDefault="00C42D5A" w:rsidP="00C74DF8">
            <w:pPr>
              <w:pStyle w:val="chart-dollar"/>
              <w:tabs>
                <w:tab w:val="clear" w:pos="115"/>
                <w:tab w:val="clear" w:pos="1261"/>
                <w:tab w:val="left" w:pos="80"/>
                <w:tab w:val="decimal" w:pos="825"/>
              </w:tabs>
              <w:rPr>
                <w:sz w:val="22"/>
                <w:szCs w:val="22"/>
              </w:rPr>
            </w:pPr>
            <w:r w:rsidRPr="00D22E9A">
              <w:rPr>
                <w:sz w:val="22"/>
                <w:szCs w:val="22"/>
              </w:rPr>
              <w:tab/>
              <w:t xml:space="preserve">$     </w:t>
            </w:r>
            <w:r w:rsidRPr="00D22E9A">
              <w:rPr>
                <w:sz w:val="22"/>
                <w:szCs w:val="22"/>
              </w:rPr>
              <w:tab/>
              <w:t>300,000</w:t>
            </w:r>
          </w:p>
        </w:tc>
        <w:tc>
          <w:tcPr>
            <w:tcW w:w="1290" w:type="dxa"/>
            <w:tcBorders>
              <w:top w:val="single" w:sz="4" w:space="0" w:color="auto"/>
            </w:tcBorders>
            <w:vAlign w:val="bottom"/>
          </w:tcPr>
          <w:p w:rsidR="00C42D5A" w:rsidRPr="00D22E9A" w:rsidRDefault="00C42D5A" w:rsidP="00C74DF8">
            <w:pPr>
              <w:jc w:val="center"/>
              <w:rPr>
                <w:sz w:val="22"/>
              </w:rPr>
            </w:pPr>
            <w:r w:rsidRPr="00D22E9A">
              <w:rPr>
                <w:sz w:val="22"/>
              </w:rPr>
              <w:t>Jan-2013</w:t>
            </w:r>
          </w:p>
        </w:tc>
        <w:tc>
          <w:tcPr>
            <w:tcW w:w="1218" w:type="dxa"/>
            <w:tcBorders>
              <w:top w:val="single" w:sz="4" w:space="0" w:color="auto"/>
            </w:tcBorders>
            <w:vAlign w:val="bottom"/>
          </w:tcPr>
          <w:p w:rsidR="00C42D5A" w:rsidRPr="00D22E9A" w:rsidRDefault="00C42D5A" w:rsidP="00C74DF8">
            <w:pPr>
              <w:jc w:val="center"/>
              <w:rPr>
                <w:sz w:val="22"/>
              </w:rPr>
            </w:pPr>
            <w:r w:rsidRPr="00D22E9A">
              <w:rPr>
                <w:sz w:val="22"/>
              </w:rPr>
              <w:t>Aug-2017</w:t>
            </w:r>
          </w:p>
        </w:tc>
        <w:tc>
          <w:tcPr>
            <w:tcW w:w="1532" w:type="dxa"/>
            <w:tcBorders>
              <w:top w:val="single" w:sz="4" w:space="0" w:color="auto"/>
            </w:tcBorders>
          </w:tcPr>
          <w:p w:rsidR="00C42D5A" w:rsidRPr="00D22E9A" w:rsidRDefault="00C42D5A" w:rsidP="00C74DF8">
            <w:pPr>
              <w:tabs>
                <w:tab w:val="decimal" w:pos="172"/>
              </w:tabs>
              <w:jc w:val="center"/>
              <w:rPr>
                <w:sz w:val="22"/>
              </w:rPr>
            </w:pPr>
            <w:r w:rsidRPr="00D22E9A">
              <w:rPr>
                <w:sz w:val="22"/>
              </w:rPr>
              <w:t>1M LIBOR</w:t>
            </w:r>
          </w:p>
        </w:tc>
        <w:tc>
          <w:tcPr>
            <w:tcW w:w="1402" w:type="dxa"/>
            <w:tcBorders>
              <w:top w:val="single" w:sz="4" w:space="0" w:color="auto"/>
            </w:tcBorders>
            <w:vAlign w:val="bottom"/>
          </w:tcPr>
          <w:p w:rsidR="00C42D5A" w:rsidRPr="00841B4D" w:rsidRDefault="00C42D5A" w:rsidP="00C74DF8">
            <w:pPr>
              <w:tabs>
                <w:tab w:val="decimal" w:pos="172"/>
              </w:tabs>
              <w:jc w:val="center"/>
              <w:rPr>
                <w:sz w:val="22"/>
              </w:rPr>
            </w:pPr>
            <w:r w:rsidRPr="00841B4D">
              <w:rPr>
                <w:sz w:val="22"/>
              </w:rPr>
              <w:t>0.756%</w:t>
            </w:r>
          </w:p>
        </w:tc>
        <w:tc>
          <w:tcPr>
            <w:tcW w:w="1411" w:type="dxa"/>
            <w:tcBorders>
              <w:top w:val="single" w:sz="4" w:space="0" w:color="auto"/>
            </w:tcBorders>
            <w:vAlign w:val="bottom"/>
          </w:tcPr>
          <w:p w:rsidR="00C42D5A" w:rsidRPr="00841B4D" w:rsidRDefault="00C42D5A" w:rsidP="006B7507">
            <w:pPr>
              <w:pStyle w:val="chart-dollar"/>
              <w:tabs>
                <w:tab w:val="clear" w:pos="115"/>
                <w:tab w:val="clear" w:pos="1261"/>
                <w:tab w:val="left" w:pos="80"/>
                <w:tab w:val="decimal" w:pos="825"/>
              </w:tabs>
              <w:rPr>
                <w:sz w:val="22"/>
                <w:szCs w:val="22"/>
              </w:rPr>
            </w:pPr>
            <w:r w:rsidRPr="00841B4D">
              <w:rPr>
                <w:sz w:val="22"/>
                <w:szCs w:val="22"/>
              </w:rPr>
              <w:tab/>
              <w:t xml:space="preserve">$   </w:t>
            </w:r>
            <w:r w:rsidR="00C47841" w:rsidRPr="00841B4D">
              <w:rPr>
                <w:sz w:val="22"/>
                <w:szCs w:val="22"/>
              </w:rPr>
              <w:t xml:space="preserve">   </w:t>
            </w:r>
            <w:r w:rsidRPr="00841B4D">
              <w:rPr>
                <w:sz w:val="22"/>
                <w:szCs w:val="22"/>
              </w:rPr>
              <w:t xml:space="preserve">  </w:t>
            </w:r>
            <w:r w:rsidRPr="00841B4D">
              <w:rPr>
                <w:sz w:val="22"/>
                <w:szCs w:val="22"/>
              </w:rPr>
              <w:tab/>
            </w:r>
            <w:r w:rsidR="00C47841" w:rsidRPr="00841B4D">
              <w:rPr>
                <w:sz w:val="22"/>
                <w:szCs w:val="22"/>
              </w:rPr>
              <w:t>3</w:t>
            </w:r>
            <w:r w:rsidRPr="00841B4D">
              <w:rPr>
                <w:sz w:val="22"/>
                <w:szCs w:val="22"/>
              </w:rPr>
              <w:t>,</w:t>
            </w:r>
            <w:r w:rsidR="006B7507">
              <w:rPr>
                <w:sz w:val="22"/>
                <w:szCs w:val="22"/>
              </w:rPr>
              <w:t>210</w:t>
            </w:r>
          </w:p>
        </w:tc>
      </w:tr>
      <w:tr w:rsidR="00C42D5A" w:rsidRPr="00D22E9A" w:rsidTr="00565D05">
        <w:trPr>
          <w:trHeight w:val="153"/>
          <w:jc w:val="center"/>
        </w:trPr>
        <w:tc>
          <w:tcPr>
            <w:tcW w:w="1796" w:type="dxa"/>
          </w:tcPr>
          <w:p w:rsidR="00C42D5A" w:rsidRPr="00D22E9A" w:rsidRDefault="00C42D5A" w:rsidP="003C294E">
            <w:pPr>
              <w:pStyle w:val="chart-dollar"/>
              <w:tabs>
                <w:tab w:val="clear" w:pos="115"/>
                <w:tab w:val="clear" w:pos="1261"/>
              </w:tabs>
              <w:rPr>
                <w:sz w:val="22"/>
                <w:szCs w:val="22"/>
              </w:rPr>
            </w:pPr>
          </w:p>
        </w:tc>
        <w:tc>
          <w:tcPr>
            <w:tcW w:w="1186" w:type="dxa"/>
          </w:tcPr>
          <w:p w:rsidR="00C42D5A" w:rsidRPr="00D22E9A" w:rsidRDefault="00C42D5A" w:rsidP="003C294E">
            <w:pPr>
              <w:pStyle w:val="chart-dollar"/>
              <w:tabs>
                <w:tab w:val="clear" w:pos="115"/>
                <w:tab w:val="clear" w:pos="1261"/>
                <w:tab w:val="decimal" w:pos="825"/>
              </w:tabs>
              <w:rPr>
                <w:sz w:val="22"/>
                <w:szCs w:val="22"/>
              </w:rPr>
            </w:pPr>
          </w:p>
        </w:tc>
        <w:tc>
          <w:tcPr>
            <w:tcW w:w="1290" w:type="dxa"/>
          </w:tcPr>
          <w:p w:rsidR="00C42D5A" w:rsidRPr="00D22E9A" w:rsidRDefault="00C42D5A" w:rsidP="003C294E">
            <w:pPr>
              <w:jc w:val="center"/>
              <w:rPr>
                <w:sz w:val="22"/>
              </w:rPr>
            </w:pPr>
          </w:p>
        </w:tc>
        <w:tc>
          <w:tcPr>
            <w:tcW w:w="1218" w:type="dxa"/>
          </w:tcPr>
          <w:p w:rsidR="00C42D5A" w:rsidRPr="00D22E9A" w:rsidRDefault="00C42D5A" w:rsidP="003C294E">
            <w:pPr>
              <w:jc w:val="center"/>
              <w:rPr>
                <w:sz w:val="22"/>
              </w:rPr>
            </w:pPr>
          </w:p>
        </w:tc>
        <w:tc>
          <w:tcPr>
            <w:tcW w:w="1532" w:type="dxa"/>
          </w:tcPr>
          <w:p w:rsidR="00C42D5A" w:rsidRPr="00D22E9A" w:rsidRDefault="00C42D5A" w:rsidP="003C294E">
            <w:pPr>
              <w:tabs>
                <w:tab w:val="decimal" w:pos="172"/>
              </w:tabs>
              <w:jc w:val="center"/>
              <w:rPr>
                <w:sz w:val="22"/>
              </w:rPr>
            </w:pPr>
          </w:p>
        </w:tc>
        <w:tc>
          <w:tcPr>
            <w:tcW w:w="1402" w:type="dxa"/>
          </w:tcPr>
          <w:p w:rsidR="00C42D5A" w:rsidRPr="00D22E9A" w:rsidRDefault="00C42D5A" w:rsidP="003C294E">
            <w:pPr>
              <w:tabs>
                <w:tab w:val="decimal" w:pos="172"/>
              </w:tabs>
              <w:jc w:val="center"/>
              <w:rPr>
                <w:sz w:val="22"/>
              </w:rPr>
            </w:pPr>
          </w:p>
        </w:tc>
        <w:tc>
          <w:tcPr>
            <w:tcW w:w="1411" w:type="dxa"/>
          </w:tcPr>
          <w:p w:rsidR="00C42D5A" w:rsidRPr="00D22E9A" w:rsidRDefault="00C42D5A" w:rsidP="003C294E">
            <w:pPr>
              <w:pStyle w:val="chart-dollar"/>
              <w:tabs>
                <w:tab w:val="clear" w:pos="115"/>
                <w:tab w:val="clear" w:pos="1261"/>
                <w:tab w:val="decimal" w:pos="837"/>
              </w:tabs>
              <w:rPr>
                <w:sz w:val="22"/>
                <w:szCs w:val="22"/>
              </w:rPr>
            </w:pPr>
          </w:p>
        </w:tc>
      </w:tr>
      <w:tr w:rsidR="00C42D5A" w:rsidRPr="0053635E" w:rsidTr="00565D05">
        <w:trPr>
          <w:jc w:val="center"/>
        </w:trPr>
        <w:tc>
          <w:tcPr>
            <w:tcW w:w="9835" w:type="dxa"/>
            <w:gridSpan w:val="7"/>
          </w:tcPr>
          <w:p w:rsidR="00C42D5A" w:rsidRPr="00D22E9A" w:rsidRDefault="00C42D5A" w:rsidP="00D22E9A">
            <w:pPr>
              <w:pStyle w:val="chart-dollar"/>
              <w:numPr>
                <w:ilvl w:val="0"/>
                <w:numId w:val="3"/>
              </w:numPr>
              <w:tabs>
                <w:tab w:val="clear" w:pos="115"/>
                <w:tab w:val="clear" w:pos="1261"/>
                <w:tab w:val="decimal" w:pos="837"/>
              </w:tabs>
              <w:rPr>
                <w:sz w:val="20"/>
              </w:rPr>
            </w:pPr>
            <w:r w:rsidRPr="00D22E9A">
              <w:rPr>
                <w:sz w:val="20"/>
              </w:rPr>
              <w:t xml:space="preserve">This interest rate derivative is recorded in </w:t>
            </w:r>
            <w:r>
              <w:rPr>
                <w:sz w:val="20"/>
              </w:rPr>
              <w:t xml:space="preserve">Other Assets in </w:t>
            </w:r>
            <w:r w:rsidRPr="00D22E9A">
              <w:rPr>
                <w:sz w:val="20"/>
              </w:rPr>
              <w:t>the Consolidated Balance Sheets.</w:t>
            </w:r>
          </w:p>
        </w:tc>
      </w:tr>
    </w:tbl>
    <w:p w:rsidR="00321380" w:rsidRPr="0053635E" w:rsidRDefault="00321380" w:rsidP="00321380">
      <w:pPr>
        <w:widowControl/>
        <w:tabs>
          <w:tab w:val="left" w:pos="-720"/>
        </w:tabs>
        <w:suppressAutoHyphens/>
        <w:spacing w:after="240"/>
        <w:jc w:val="both"/>
        <w:rPr>
          <w:szCs w:val="20"/>
          <w:highlight w:val="yellow"/>
        </w:rPr>
      </w:pPr>
    </w:p>
    <w:p w:rsidR="0060609B" w:rsidRDefault="00321380" w:rsidP="00321380">
      <w:pPr>
        <w:widowControl/>
        <w:tabs>
          <w:tab w:val="left" w:pos="-720"/>
        </w:tabs>
        <w:suppressAutoHyphens/>
        <w:spacing w:after="240"/>
        <w:jc w:val="both"/>
        <w:rPr>
          <w:sz w:val="22"/>
        </w:rPr>
      </w:pPr>
      <w:r w:rsidRPr="00C42D5A">
        <w:rPr>
          <w:sz w:val="22"/>
        </w:rPr>
        <w:tab/>
      </w:r>
    </w:p>
    <w:p w:rsidR="0060609B" w:rsidRDefault="0060609B" w:rsidP="0060609B">
      <w:pPr>
        <w:pStyle w:val="Body"/>
        <w:rPr>
          <w:sz w:val="22"/>
        </w:rPr>
      </w:pPr>
      <w:r w:rsidRPr="007D313C">
        <w:rPr>
          <w:b/>
          <w:sz w:val="22"/>
          <w:szCs w:val="22"/>
        </w:rPr>
        <w:lastRenderedPageBreak/>
        <w:t>6. Derivative and Hedging Activities (continued)</w:t>
      </w:r>
    </w:p>
    <w:p w:rsidR="00744A72" w:rsidRPr="00C42D5A" w:rsidRDefault="0060609B" w:rsidP="00321380">
      <w:pPr>
        <w:widowControl/>
        <w:tabs>
          <w:tab w:val="left" w:pos="-720"/>
        </w:tabs>
        <w:suppressAutoHyphens/>
        <w:spacing w:after="240"/>
        <w:jc w:val="both"/>
        <w:rPr>
          <w:sz w:val="22"/>
        </w:rPr>
      </w:pPr>
      <w:r>
        <w:rPr>
          <w:sz w:val="22"/>
        </w:rPr>
        <w:tab/>
      </w:r>
      <w:r w:rsidR="00CA14BE" w:rsidRPr="00C42D5A">
        <w:rPr>
          <w:sz w:val="22"/>
        </w:rPr>
        <w:t>At the dates indicated, the Company had in place total interest rate derivatives to fix floating interest rates on a portion of the borrowings under its debt facilities as summarized below:</w:t>
      </w:r>
    </w:p>
    <w:tbl>
      <w:tblPr>
        <w:tblW w:w="0" w:type="auto"/>
        <w:jc w:val="center"/>
        <w:tblInd w:w="-18" w:type="dxa"/>
        <w:tblLayout w:type="fixed"/>
        <w:tblCellMar>
          <w:left w:w="72" w:type="dxa"/>
          <w:right w:w="72" w:type="dxa"/>
        </w:tblCellMar>
        <w:tblLook w:val="0000" w:firstRow="0" w:lastRow="0" w:firstColumn="0" w:lastColumn="0" w:noHBand="0" w:noVBand="0"/>
      </w:tblPr>
      <w:tblGrid>
        <w:gridCol w:w="2412"/>
        <w:gridCol w:w="2044"/>
        <w:gridCol w:w="2008"/>
        <w:gridCol w:w="2008"/>
      </w:tblGrid>
      <w:tr w:rsidR="00CA14BE" w:rsidRPr="00C42D5A" w:rsidTr="00C347B0">
        <w:trPr>
          <w:cantSplit/>
          <w:jc w:val="center"/>
        </w:trPr>
        <w:tc>
          <w:tcPr>
            <w:tcW w:w="2412" w:type="dxa"/>
            <w:tcBorders>
              <w:top w:val="nil"/>
              <w:left w:val="nil"/>
              <w:bottom w:val="nil"/>
              <w:right w:val="nil"/>
            </w:tcBorders>
            <w:vAlign w:val="bottom"/>
          </w:tcPr>
          <w:p w:rsidR="00CA14BE" w:rsidRPr="00C42D5A"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p>
        </w:tc>
        <w:tc>
          <w:tcPr>
            <w:tcW w:w="2044" w:type="dxa"/>
            <w:tcBorders>
              <w:top w:val="nil"/>
              <w:left w:val="nil"/>
              <w:bottom w:val="nil"/>
              <w:right w:val="nil"/>
            </w:tcBorders>
            <w:vAlign w:val="bottom"/>
          </w:tcPr>
          <w:p w:rsidR="00CA14BE" w:rsidRPr="00C42D5A"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C42D5A">
              <w:rPr>
                <w:b/>
                <w:bCs/>
                <w:sz w:val="22"/>
              </w:rPr>
              <w:t>Total Current Notional</w:t>
            </w:r>
            <w:r w:rsidR="00744A72" w:rsidRPr="00C42D5A">
              <w:rPr>
                <w:b/>
                <w:bCs/>
                <w:sz w:val="22"/>
              </w:rPr>
              <w:br/>
            </w:r>
            <w:r w:rsidRPr="00C42D5A">
              <w:rPr>
                <w:b/>
                <w:bCs/>
                <w:sz w:val="22"/>
              </w:rPr>
              <w:t>Amount</w:t>
            </w:r>
          </w:p>
        </w:tc>
        <w:tc>
          <w:tcPr>
            <w:tcW w:w="2008" w:type="dxa"/>
            <w:tcBorders>
              <w:top w:val="nil"/>
              <w:left w:val="nil"/>
              <w:bottom w:val="nil"/>
              <w:right w:val="nil"/>
            </w:tcBorders>
            <w:vAlign w:val="bottom"/>
          </w:tcPr>
          <w:p w:rsidR="00CA14BE" w:rsidRPr="00C42D5A"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C42D5A">
              <w:rPr>
                <w:b/>
                <w:bCs/>
                <w:sz w:val="22"/>
              </w:rPr>
              <w:t>Weighted</w:t>
            </w:r>
            <w:r w:rsidRPr="00C42D5A">
              <w:rPr>
                <w:b/>
                <w:bCs/>
                <w:sz w:val="22"/>
              </w:rPr>
              <w:noBreakHyphen/>
              <w:t>Average</w:t>
            </w:r>
            <w:r w:rsidR="00744A72" w:rsidRPr="00C42D5A">
              <w:rPr>
                <w:b/>
                <w:bCs/>
                <w:sz w:val="22"/>
              </w:rPr>
              <w:br/>
            </w:r>
            <w:r w:rsidRPr="00C42D5A">
              <w:rPr>
                <w:b/>
                <w:bCs/>
                <w:sz w:val="22"/>
              </w:rPr>
              <w:t>Fixed Leg</w:t>
            </w:r>
            <w:r w:rsidR="00744A72" w:rsidRPr="00C42D5A">
              <w:rPr>
                <w:b/>
                <w:bCs/>
                <w:sz w:val="22"/>
              </w:rPr>
              <w:br/>
            </w:r>
            <w:r w:rsidRPr="00C42D5A">
              <w:rPr>
                <w:b/>
                <w:bCs/>
                <w:sz w:val="22"/>
              </w:rPr>
              <w:t>Interest Rate</w:t>
            </w:r>
          </w:p>
        </w:tc>
        <w:tc>
          <w:tcPr>
            <w:tcW w:w="2008" w:type="dxa"/>
            <w:tcBorders>
              <w:top w:val="nil"/>
              <w:left w:val="nil"/>
              <w:bottom w:val="nil"/>
              <w:right w:val="nil"/>
            </w:tcBorders>
            <w:vAlign w:val="bottom"/>
          </w:tcPr>
          <w:p w:rsidR="00CA14BE" w:rsidRPr="00C42D5A"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C42D5A">
              <w:rPr>
                <w:b/>
                <w:bCs/>
                <w:sz w:val="22"/>
              </w:rPr>
              <w:t>Weighted</w:t>
            </w:r>
            <w:r w:rsidRPr="00C42D5A">
              <w:rPr>
                <w:b/>
                <w:bCs/>
                <w:sz w:val="22"/>
              </w:rPr>
              <w:noBreakHyphen/>
              <w:t>Average</w:t>
            </w:r>
            <w:r w:rsidR="00744A72" w:rsidRPr="00C42D5A">
              <w:rPr>
                <w:b/>
                <w:bCs/>
                <w:sz w:val="22"/>
              </w:rPr>
              <w:br/>
            </w:r>
            <w:r w:rsidRPr="00C42D5A">
              <w:rPr>
                <w:b/>
                <w:bCs/>
                <w:sz w:val="22"/>
              </w:rPr>
              <w:t>Remaining Term</w:t>
            </w:r>
          </w:p>
        </w:tc>
      </w:tr>
      <w:tr w:rsidR="0055081F" w:rsidRPr="006B7507" w:rsidTr="00C347B0">
        <w:trPr>
          <w:cantSplit/>
          <w:jc w:val="center"/>
        </w:trPr>
        <w:tc>
          <w:tcPr>
            <w:tcW w:w="2412" w:type="dxa"/>
            <w:tcBorders>
              <w:top w:val="nil"/>
              <w:left w:val="nil"/>
              <w:bottom w:val="nil"/>
              <w:right w:val="nil"/>
            </w:tcBorders>
          </w:tcPr>
          <w:p w:rsidR="0055081F" w:rsidRPr="00C42D5A" w:rsidRDefault="00D22E9A" w:rsidP="00D22E9A">
            <w:pPr>
              <w:widowControl/>
              <w:suppressAutoHyphens/>
              <w:ind w:left="200" w:hanging="200"/>
              <w:rPr>
                <w:sz w:val="22"/>
              </w:rPr>
            </w:pPr>
            <w:r w:rsidRPr="00C42D5A">
              <w:rPr>
                <w:sz w:val="22"/>
              </w:rPr>
              <w:t>March</w:t>
            </w:r>
            <w:r w:rsidR="0055081F" w:rsidRPr="00C42D5A">
              <w:rPr>
                <w:sz w:val="22"/>
              </w:rPr>
              <w:t> 3</w:t>
            </w:r>
            <w:r w:rsidRPr="00C42D5A">
              <w:rPr>
                <w:sz w:val="22"/>
              </w:rPr>
              <w:t>1</w:t>
            </w:r>
            <w:r w:rsidR="0055081F" w:rsidRPr="00C42D5A">
              <w:rPr>
                <w:sz w:val="22"/>
              </w:rPr>
              <w:t>, 201</w:t>
            </w:r>
            <w:r w:rsidRPr="00C42D5A">
              <w:rPr>
                <w:sz w:val="22"/>
              </w:rPr>
              <w:t>4</w:t>
            </w:r>
            <w:r w:rsidR="0055081F" w:rsidRPr="00C42D5A">
              <w:rPr>
                <w:sz w:val="22"/>
              </w:rPr>
              <w:tab/>
            </w:r>
          </w:p>
        </w:tc>
        <w:tc>
          <w:tcPr>
            <w:tcW w:w="2044" w:type="dxa"/>
            <w:tcBorders>
              <w:top w:val="nil"/>
              <w:left w:val="nil"/>
              <w:bottom w:val="nil"/>
              <w:right w:val="nil"/>
            </w:tcBorders>
            <w:vAlign w:val="bottom"/>
          </w:tcPr>
          <w:p w:rsidR="0055081F" w:rsidRPr="00C42D5A" w:rsidRDefault="0055081F" w:rsidP="002C24F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42D5A">
              <w:rPr>
                <w:sz w:val="22"/>
              </w:rPr>
              <w:t>$</w:t>
            </w:r>
            <w:r w:rsidR="00565D05" w:rsidRPr="00C42D5A">
              <w:rPr>
                <w:sz w:val="22"/>
              </w:rPr>
              <w:t xml:space="preserve">                 </w:t>
            </w:r>
            <w:r w:rsidRPr="00C42D5A">
              <w:rPr>
                <w:sz w:val="22"/>
              </w:rPr>
              <w:t>300,000</w:t>
            </w:r>
          </w:p>
        </w:tc>
        <w:tc>
          <w:tcPr>
            <w:tcW w:w="2008" w:type="dxa"/>
            <w:tcBorders>
              <w:top w:val="nil"/>
              <w:left w:val="nil"/>
              <w:bottom w:val="nil"/>
              <w:right w:val="nil"/>
            </w:tcBorders>
            <w:vAlign w:val="bottom"/>
          </w:tcPr>
          <w:p w:rsidR="0055081F" w:rsidRPr="00C42D5A" w:rsidRDefault="0055081F" w:rsidP="007865C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42D5A">
              <w:rPr>
                <w:sz w:val="22"/>
              </w:rPr>
              <w:t>0.756%</w:t>
            </w:r>
          </w:p>
        </w:tc>
        <w:tc>
          <w:tcPr>
            <w:tcW w:w="2008" w:type="dxa"/>
            <w:tcBorders>
              <w:top w:val="nil"/>
              <w:left w:val="nil"/>
              <w:bottom w:val="nil"/>
              <w:right w:val="nil"/>
            </w:tcBorders>
            <w:vAlign w:val="bottom"/>
          </w:tcPr>
          <w:p w:rsidR="0055081F" w:rsidRPr="006B7507" w:rsidRDefault="00C347B0" w:rsidP="006B750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B7507">
              <w:rPr>
                <w:sz w:val="22"/>
              </w:rPr>
              <w:t>3</w:t>
            </w:r>
            <w:r w:rsidR="0055081F" w:rsidRPr="006B7507">
              <w:rPr>
                <w:sz w:val="22"/>
              </w:rPr>
              <w:t>.</w:t>
            </w:r>
            <w:r w:rsidR="00D22E9A" w:rsidRPr="006B7507">
              <w:rPr>
                <w:sz w:val="22"/>
              </w:rPr>
              <w:t>2</w:t>
            </w:r>
            <w:r w:rsidR="006B7507" w:rsidRPr="006B7507">
              <w:rPr>
                <w:sz w:val="22"/>
              </w:rPr>
              <w:t>8</w:t>
            </w:r>
            <w:r w:rsidR="0055081F" w:rsidRPr="006B7507">
              <w:rPr>
                <w:sz w:val="22"/>
              </w:rPr>
              <w:t xml:space="preserve"> years</w:t>
            </w:r>
          </w:p>
        </w:tc>
      </w:tr>
      <w:tr w:rsidR="00D22E9A" w:rsidRPr="00C42D5A" w:rsidTr="00C347B0">
        <w:trPr>
          <w:cantSplit/>
          <w:jc w:val="center"/>
        </w:trPr>
        <w:tc>
          <w:tcPr>
            <w:tcW w:w="2412" w:type="dxa"/>
            <w:tcBorders>
              <w:top w:val="nil"/>
              <w:left w:val="nil"/>
              <w:bottom w:val="nil"/>
              <w:right w:val="nil"/>
            </w:tcBorders>
          </w:tcPr>
          <w:p w:rsidR="00D22E9A" w:rsidRPr="00C42D5A" w:rsidRDefault="00D22E9A" w:rsidP="00CD1B61">
            <w:pPr>
              <w:widowControl/>
              <w:suppressAutoHyphens/>
              <w:ind w:left="200" w:hanging="200"/>
              <w:rPr>
                <w:sz w:val="22"/>
              </w:rPr>
            </w:pPr>
            <w:r w:rsidRPr="00C42D5A">
              <w:rPr>
                <w:sz w:val="22"/>
              </w:rPr>
              <w:t>December 31, 201</w:t>
            </w:r>
            <w:r w:rsidR="00CD1B61">
              <w:rPr>
                <w:sz w:val="22"/>
              </w:rPr>
              <w:t>3</w:t>
            </w:r>
          </w:p>
        </w:tc>
        <w:tc>
          <w:tcPr>
            <w:tcW w:w="2044" w:type="dxa"/>
            <w:tcBorders>
              <w:top w:val="nil"/>
              <w:left w:val="nil"/>
              <w:bottom w:val="nil"/>
              <w:right w:val="nil"/>
            </w:tcBorders>
            <w:vAlign w:val="bottom"/>
          </w:tcPr>
          <w:p w:rsidR="00D22E9A" w:rsidRPr="00C42D5A" w:rsidRDefault="00D22E9A" w:rsidP="00D22E9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42D5A">
              <w:rPr>
                <w:sz w:val="22"/>
              </w:rPr>
              <w:t>$                 300,000</w:t>
            </w:r>
          </w:p>
        </w:tc>
        <w:tc>
          <w:tcPr>
            <w:tcW w:w="2008" w:type="dxa"/>
            <w:tcBorders>
              <w:top w:val="nil"/>
              <w:left w:val="nil"/>
              <w:bottom w:val="nil"/>
              <w:right w:val="nil"/>
            </w:tcBorders>
            <w:vAlign w:val="bottom"/>
          </w:tcPr>
          <w:p w:rsidR="00D22E9A" w:rsidRPr="00C42D5A" w:rsidRDefault="00D22E9A" w:rsidP="00D22E9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42D5A">
              <w:rPr>
                <w:sz w:val="22"/>
              </w:rPr>
              <w:t>0.756%</w:t>
            </w:r>
          </w:p>
        </w:tc>
        <w:tc>
          <w:tcPr>
            <w:tcW w:w="2008" w:type="dxa"/>
            <w:tcBorders>
              <w:top w:val="nil"/>
              <w:left w:val="nil"/>
              <w:bottom w:val="nil"/>
              <w:right w:val="nil"/>
            </w:tcBorders>
            <w:vAlign w:val="bottom"/>
          </w:tcPr>
          <w:p w:rsidR="00D22E9A" w:rsidRPr="00C42D5A" w:rsidRDefault="00D22E9A" w:rsidP="00D22E9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42D5A">
              <w:rPr>
                <w:sz w:val="22"/>
              </w:rPr>
              <w:t>3.5</w:t>
            </w:r>
            <w:r w:rsidR="006B7507">
              <w:rPr>
                <w:sz w:val="22"/>
              </w:rPr>
              <w:t>3</w:t>
            </w:r>
            <w:r w:rsidRPr="00C42D5A">
              <w:rPr>
                <w:sz w:val="22"/>
              </w:rPr>
              <w:t xml:space="preserve"> years</w:t>
            </w:r>
          </w:p>
        </w:tc>
      </w:tr>
    </w:tbl>
    <w:p w:rsidR="00C42D5A" w:rsidRDefault="00C42D5A" w:rsidP="00891D0F">
      <w:pPr>
        <w:pStyle w:val="Body"/>
        <w:rPr>
          <w:b/>
          <w:sz w:val="22"/>
          <w:szCs w:val="22"/>
          <w:highlight w:val="yellow"/>
        </w:rPr>
      </w:pPr>
    </w:p>
    <w:p w:rsidR="00602F5D" w:rsidRPr="007D313C" w:rsidRDefault="00602F5D" w:rsidP="0045376D">
      <w:pPr>
        <w:widowControl/>
        <w:autoSpaceDE/>
        <w:autoSpaceDN/>
        <w:adjustRightInd/>
        <w:ind w:firstLine="720"/>
        <w:jc w:val="both"/>
        <w:rPr>
          <w:sz w:val="22"/>
        </w:rPr>
      </w:pPr>
      <w:r w:rsidRPr="007D313C">
        <w:rPr>
          <w:sz w:val="22"/>
        </w:rPr>
        <w:t xml:space="preserve">The following table sets forth the net of tax effect of the Company’s cash flow hedge derivative instruments on the </w:t>
      </w:r>
      <w:r w:rsidR="00752A04">
        <w:rPr>
          <w:sz w:val="22"/>
        </w:rPr>
        <w:t>c</w:t>
      </w:r>
      <w:r w:rsidRPr="007D313C">
        <w:rPr>
          <w:sz w:val="22"/>
        </w:rPr>
        <w:t xml:space="preserve">onsolidated </w:t>
      </w:r>
      <w:r w:rsidR="00752A04">
        <w:rPr>
          <w:sz w:val="22"/>
        </w:rPr>
        <w:t>f</w:t>
      </w:r>
      <w:r w:rsidRPr="007D313C">
        <w:rPr>
          <w:sz w:val="22"/>
        </w:rPr>
        <w:t xml:space="preserve">inancial </w:t>
      </w:r>
      <w:r w:rsidR="00752A04">
        <w:rPr>
          <w:sz w:val="22"/>
        </w:rPr>
        <w:t>s</w:t>
      </w:r>
      <w:r w:rsidRPr="007D313C">
        <w:rPr>
          <w:sz w:val="22"/>
        </w:rPr>
        <w:t>tatements for the periods indicated:</w:t>
      </w:r>
    </w:p>
    <w:p w:rsidR="00891D0F" w:rsidRPr="007D313C" w:rsidRDefault="00891D0F" w:rsidP="00602F5D">
      <w:pPr>
        <w:widowControl/>
        <w:autoSpaceDE/>
        <w:autoSpaceDN/>
        <w:adjustRightInd/>
        <w:jc w:val="both"/>
        <w:rPr>
          <w:sz w:val="22"/>
        </w:rPr>
      </w:pPr>
    </w:p>
    <w:p w:rsidR="00602F5D" w:rsidRPr="007D313C" w:rsidRDefault="00602F5D" w:rsidP="00602F5D">
      <w:pPr>
        <w:widowControl/>
        <w:autoSpaceDE/>
        <w:autoSpaceDN/>
        <w:adjustRightInd/>
        <w:jc w:val="both"/>
        <w:rPr>
          <w:sz w:val="24"/>
          <w:szCs w:val="24"/>
        </w:rPr>
      </w:pPr>
    </w:p>
    <w:tbl>
      <w:tblPr>
        <w:tblW w:w="9627" w:type="dxa"/>
        <w:jc w:val="center"/>
        <w:tblLook w:val="01E0" w:firstRow="1" w:lastRow="1" w:firstColumn="1" w:lastColumn="1" w:noHBand="0" w:noVBand="0"/>
      </w:tblPr>
      <w:tblGrid>
        <w:gridCol w:w="1779"/>
        <w:gridCol w:w="1259"/>
        <w:gridCol w:w="1419"/>
        <w:gridCol w:w="1306"/>
        <w:gridCol w:w="1261"/>
        <w:gridCol w:w="236"/>
        <w:gridCol w:w="1202"/>
        <w:gridCol w:w="1165"/>
      </w:tblGrid>
      <w:tr w:rsidR="00602F5D" w:rsidRPr="007D313C" w:rsidTr="007865C4">
        <w:trPr>
          <w:trHeight w:val="260"/>
          <w:jc w:val="center"/>
        </w:trPr>
        <w:tc>
          <w:tcPr>
            <w:tcW w:w="1779" w:type="dxa"/>
            <w:tcBorders>
              <w:bottom w:val="single" w:sz="4" w:space="0" w:color="auto"/>
            </w:tcBorders>
            <w:vAlign w:val="bottom"/>
          </w:tcPr>
          <w:p w:rsidR="00602F5D" w:rsidRPr="007D313C" w:rsidRDefault="00602F5D" w:rsidP="00602F5D">
            <w:pPr>
              <w:widowControl/>
              <w:tabs>
                <w:tab w:val="left" w:pos="565"/>
                <w:tab w:val="decimal" w:pos="941"/>
              </w:tabs>
              <w:overflowPunct w:val="0"/>
              <w:ind w:left="150" w:hanging="150"/>
              <w:jc w:val="center"/>
              <w:textAlignment w:val="baseline"/>
              <w:rPr>
                <w:b/>
                <w:bCs/>
                <w:sz w:val="18"/>
                <w:szCs w:val="18"/>
              </w:rPr>
            </w:pPr>
          </w:p>
        </w:tc>
        <w:tc>
          <w:tcPr>
            <w:tcW w:w="1259" w:type="dxa"/>
            <w:tcBorders>
              <w:bottom w:val="single" w:sz="4" w:space="0" w:color="auto"/>
            </w:tcBorders>
          </w:tcPr>
          <w:p w:rsidR="00602F5D" w:rsidRPr="007D313C" w:rsidRDefault="00602F5D" w:rsidP="00602F5D">
            <w:pPr>
              <w:widowControl/>
              <w:tabs>
                <w:tab w:val="decimal" w:pos="172"/>
              </w:tabs>
              <w:overflowPunct w:val="0"/>
              <w:jc w:val="center"/>
              <w:textAlignment w:val="baseline"/>
              <w:rPr>
                <w:b/>
                <w:sz w:val="18"/>
                <w:szCs w:val="18"/>
              </w:rPr>
            </w:pPr>
          </w:p>
        </w:tc>
        <w:tc>
          <w:tcPr>
            <w:tcW w:w="3986" w:type="dxa"/>
            <w:gridSpan w:val="3"/>
            <w:tcBorders>
              <w:bottom w:val="single" w:sz="6" w:space="0" w:color="auto"/>
            </w:tcBorders>
            <w:vAlign w:val="bottom"/>
          </w:tcPr>
          <w:p w:rsidR="00602F5D" w:rsidRPr="007D313C" w:rsidRDefault="00602F5D" w:rsidP="00602F5D">
            <w:pPr>
              <w:widowControl/>
              <w:tabs>
                <w:tab w:val="decimal" w:pos="172"/>
              </w:tabs>
              <w:overflowPunct w:val="0"/>
              <w:jc w:val="center"/>
              <w:textAlignment w:val="baseline"/>
              <w:rPr>
                <w:b/>
                <w:sz w:val="18"/>
                <w:szCs w:val="18"/>
              </w:rPr>
            </w:pPr>
            <w:r w:rsidRPr="007D313C">
              <w:rPr>
                <w:b/>
                <w:sz w:val="18"/>
                <w:szCs w:val="18"/>
              </w:rPr>
              <w:t>Effective Portion</w:t>
            </w:r>
          </w:p>
        </w:tc>
        <w:tc>
          <w:tcPr>
            <w:tcW w:w="236" w:type="dxa"/>
            <w:vAlign w:val="bottom"/>
          </w:tcPr>
          <w:p w:rsidR="00602F5D" w:rsidRPr="007D313C" w:rsidRDefault="00602F5D" w:rsidP="00602F5D">
            <w:pPr>
              <w:widowControl/>
              <w:tabs>
                <w:tab w:val="decimal" w:pos="172"/>
              </w:tabs>
              <w:overflowPunct w:val="0"/>
              <w:jc w:val="center"/>
              <w:textAlignment w:val="baseline"/>
              <w:rPr>
                <w:b/>
                <w:sz w:val="18"/>
                <w:szCs w:val="18"/>
              </w:rPr>
            </w:pPr>
          </w:p>
        </w:tc>
        <w:tc>
          <w:tcPr>
            <w:tcW w:w="2367" w:type="dxa"/>
            <w:gridSpan w:val="2"/>
            <w:tcBorders>
              <w:bottom w:val="single" w:sz="6" w:space="0" w:color="auto"/>
            </w:tcBorders>
            <w:vAlign w:val="bottom"/>
          </w:tcPr>
          <w:p w:rsidR="00602F5D" w:rsidRPr="007D313C" w:rsidDel="00FF4832" w:rsidRDefault="00602F5D" w:rsidP="00602F5D">
            <w:pPr>
              <w:widowControl/>
              <w:tabs>
                <w:tab w:val="left" w:pos="486"/>
                <w:tab w:val="decimal" w:pos="1297"/>
              </w:tabs>
              <w:overflowPunct w:val="0"/>
              <w:jc w:val="center"/>
              <w:textAlignment w:val="baseline"/>
              <w:rPr>
                <w:b/>
                <w:bCs/>
                <w:sz w:val="18"/>
                <w:szCs w:val="18"/>
              </w:rPr>
            </w:pPr>
            <w:r w:rsidRPr="007D313C">
              <w:rPr>
                <w:b/>
                <w:bCs/>
                <w:sz w:val="18"/>
                <w:szCs w:val="18"/>
              </w:rPr>
              <w:t>Ineffective Portion</w:t>
            </w:r>
          </w:p>
        </w:tc>
      </w:tr>
      <w:tr w:rsidR="00602F5D" w:rsidRPr="0053635E" w:rsidTr="007865C4">
        <w:trPr>
          <w:trHeight w:val="1251"/>
          <w:jc w:val="center"/>
        </w:trPr>
        <w:tc>
          <w:tcPr>
            <w:tcW w:w="1779" w:type="dxa"/>
            <w:tcBorders>
              <w:top w:val="single" w:sz="4" w:space="0" w:color="auto"/>
              <w:bottom w:val="single" w:sz="4" w:space="0" w:color="auto"/>
            </w:tcBorders>
            <w:vAlign w:val="bottom"/>
          </w:tcPr>
          <w:p w:rsidR="00602F5D" w:rsidRPr="007D313C" w:rsidRDefault="00602F5D" w:rsidP="00602F5D">
            <w:pPr>
              <w:widowControl/>
              <w:tabs>
                <w:tab w:val="left" w:pos="565"/>
                <w:tab w:val="decimal" w:pos="941"/>
              </w:tabs>
              <w:overflowPunct w:val="0"/>
              <w:jc w:val="center"/>
              <w:textAlignment w:val="baseline"/>
              <w:rPr>
                <w:b/>
                <w:bCs/>
                <w:sz w:val="18"/>
                <w:szCs w:val="18"/>
              </w:rPr>
            </w:pPr>
          </w:p>
          <w:p w:rsidR="00602F5D" w:rsidRPr="007D313C" w:rsidRDefault="00602F5D" w:rsidP="00602F5D">
            <w:pPr>
              <w:widowControl/>
              <w:tabs>
                <w:tab w:val="left" w:pos="565"/>
                <w:tab w:val="decimal" w:pos="941"/>
              </w:tabs>
              <w:overflowPunct w:val="0"/>
              <w:jc w:val="center"/>
              <w:textAlignment w:val="baseline"/>
              <w:rPr>
                <w:b/>
                <w:bCs/>
                <w:sz w:val="18"/>
                <w:szCs w:val="18"/>
              </w:rPr>
            </w:pPr>
          </w:p>
          <w:p w:rsidR="00602F5D" w:rsidRPr="007D313C" w:rsidRDefault="00602F5D" w:rsidP="00602F5D">
            <w:pPr>
              <w:widowControl/>
              <w:tabs>
                <w:tab w:val="left" w:pos="565"/>
                <w:tab w:val="decimal" w:pos="941"/>
              </w:tabs>
              <w:overflowPunct w:val="0"/>
              <w:jc w:val="center"/>
              <w:textAlignment w:val="baseline"/>
              <w:rPr>
                <w:b/>
                <w:bCs/>
                <w:sz w:val="18"/>
                <w:szCs w:val="18"/>
              </w:rPr>
            </w:pPr>
          </w:p>
        </w:tc>
        <w:tc>
          <w:tcPr>
            <w:tcW w:w="1259" w:type="dxa"/>
            <w:tcBorders>
              <w:top w:val="single" w:sz="4" w:space="0" w:color="auto"/>
              <w:bottom w:val="single" w:sz="4" w:space="0" w:color="auto"/>
            </w:tcBorders>
          </w:tcPr>
          <w:p w:rsidR="00602F5D" w:rsidRPr="007D313C" w:rsidRDefault="00602F5D" w:rsidP="00602F5D">
            <w:pPr>
              <w:widowControl/>
              <w:tabs>
                <w:tab w:val="decimal" w:pos="172"/>
              </w:tabs>
              <w:overflowPunct w:val="0"/>
              <w:jc w:val="center"/>
              <w:textAlignment w:val="baseline"/>
              <w:rPr>
                <w:b/>
                <w:sz w:val="18"/>
                <w:szCs w:val="18"/>
              </w:rPr>
            </w:pPr>
          </w:p>
          <w:p w:rsidR="00602F5D" w:rsidRPr="007D313C" w:rsidRDefault="00602F5D" w:rsidP="00602F5D">
            <w:pPr>
              <w:widowControl/>
              <w:tabs>
                <w:tab w:val="decimal" w:pos="172"/>
              </w:tabs>
              <w:overflowPunct w:val="0"/>
              <w:jc w:val="center"/>
              <w:textAlignment w:val="baseline"/>
              <w:rPr>
                <w:b/>
                <w:sz w:val="18"/>
                <w:szCs w:val="18"/>
              </w:rPr>
            </w:pPr>
          </w:p>
          <w:p w:rsidR="00602F5D" w:rsidRPr="007D313C" w:rsidRDefault="00602F5D" w:rsidP="00602F5D">
            <w:pPr>
              <w:widowControl/>
              <w:tabs>
                <w:tab w:val="decimal" w:pos="172"/>
              </w:tabs>
              <w:overflowPunct w:val="0"/>
              <w:jc w:val="center"/>
              <w:textAlignment w:val="baseline"/>
              <w:rPr>
                <w:b/>
                <w:sz w:val="18"/>
                <w:szCs w:val="18"/>
              </w:rPr>
            </w:pPr>
          </w:p>
          <w:p w:rsidR="00602F5D" w:rsidRPr="007D313C" w:rsidRDefault="00602F5D" w:rsidP="00602F5D">
            <w:pPr>
              <w:widowControl/>
              <w:tabs>
                <w:tab w:val="decimal" w:pos="172"/>
              </w:tabs>
              <w:overflowPunct w:val="0"/>
              <w:jc w:val="center"/>
              <w:textAlignment w:val="baseline"/>
              <w:rPr>
                <w:b/>
                <w:sz w:val="18"/>
                <w:szCs w:val="18"/>
              </w:rPr>
            </w:pPr>
          </w:p>
          <w:p w:rsidR="00602F5D" w:rsidRPr="007D313C" w:rsidRDefault="00602F5D" w:rsidP="00602F5D">
            <w:pPr>
              <w:widowControl/>
              <w:tabs>
                <w:tab w:val="decimal" w:pos="172"/>
              </w:tabs>
              <w:overflowPunct w:val="0"/>
              <w:textAlignment w:val="baseline"/>
              <w:rPr>
                <w:b/>
                <w:sz w:val="18"/>
                <w:szCs w:val="18"/>
              </w:rPr>
            </w:pPr>
            <w:r w:rsidRPr="007D313C">
              <w:rPr>
                <w:b/>
                <w:sz w:val="18"/>
                <w:szCs w:val="18"/>
              </w:rPr>
              <w:t>Derivative Instruments</w:t>
            </w:r>
          </w:p>
        </w:tc>
        <w:tc>
          <w:tcPr>
            <w:tcW w:w="1419" w:type="dxa"/>
            <w:tcBorders>
              <w:top w:val="single" w:sz="6" w:space="0" w:color="auto"/>
              <w:bottom w:val="single" w:sz="4" w:space="0" w:color="auto"/>
            </w:tcBorders>
            <w:vAlign w:val="bottom"/>
          </w:tcPr>
          <w:p w:rsidR="00602F5D" w:rsidRPr="007D313C" w:rsidRDefault="00602F5D" w:rsidP="00E25893">
            <w:pPr>
              <w:widowControl/>
              <w:tabs>
                <w:tab w:val="decimal" w:pos="172"/>
              </w:tabs>
              <w:overflowPunct w:val="0"/>
              <w:jc w:val="center"/>
              <w:textAlignment w:val="baseline"/>
              <w:rPr>
                <w:b/>
                <w:sz w:val="18"/>
                <w:szCs w:val="18"/>
              </w:rPr>
            </w:pPr>
            <w:r w:rsidRPr="007D313C">
              <w:rPr>
                <w:b/>
                <w:sz w:val="18"/>
                <w:szCs w:val="18"/>
              </w:rPr>
              <w:t>Change in Unrealized Loss Recognized in OCI on Derivatives (a)</w:t>
            </w:r>
          </w:p>
        </w:tc>
        <w:tc>
          <w:tcPr>
            <w:tcW w:w="1306" w:type="dxa"/>
            <w:tcBorders>
              <w:top w:val="single" w:sz="6" w:space="0" w:color="auto"/>
              <w:bottom w:val="single" w:sz="4" w:space="0" w:color="auto"/>
            </w:tcBorders>
            <w:vAlign w:val="bottom"/>
          </w:tcPr>
          <w:p w:rsidR="00602F5D" w:rsidRPr="007D313C" w:rsidRDefault="00602F5D" w:rsidP="00602F5D">
            <w:pPr>
              <w:widowControl/>
              <w:tabs>
                <w:tab w:val="decimal" w:pos="172"/>
              </w:tabs>
              <w:overflowPunct w:val="0"/>
              <w:jc w:val="center"/>
              <w:textAlignment w:val="baseline"/>
              <w:rPr>
                <w:b/>
                <w:sz w:val="18"/>
                <w:szCs w:val="18"/>
              </w:rPr>
            </w:pPr>
          </w:p>
          <w:p w:rsidR="00602F5D" w:rsidRPr="007D313C" w:rsidRDefault="00602F5D" w:rsidP="00602F5D">
            <w:pPr>
              <w:widowControl/>
              <w:tabs>
                <w:tab w:val="decimal" w:pos="172"/>
              </w:tabs>
              <w:overflowPunct w:val="0"/>
              <w:jc w:val="center"/>
              <w:textAlignment w:val="baseline"/>
              <w:rPr>
                <w:b/>
                <w:sz w:val="18"/>
                <w:szCs w:val="18"/>
              </w:rPr>
            </w:pPr>
            <w:r w:rsidRPr="007D313C">
              <w:rPr>
                <w:b/>
                <w:sz w:val="18"/>
                <w:szCs w:val="18"/>
              </w:rPr>
              <w:t>Classification of Loss Reclassified from OCI into Income</w:t>
            </w:r>
          </w:p>
        </w:tc>
        <w:tc>
          <w:tcPr>
            <w:tcW w:w="1261" w:type="dxa"/>
            <w:tcBorders>
              <w:top w:val="single" w:sz="6" w:space="0" w:color="auto"/>
              <w:bottom w:val="single" w:sz="4" w:space="0" w:color="auto"/>
            </w:tcBorders>
            <w:vAlign w:val="bottom"/>
          </w:tcPr>
          <w:p w:rsidR="00602F5D" w:rsidRPr="007D313C" w:rsidRDefault="00602F5D" w:rsidP="00602F5D">
            <w:pPr>
              <w:widowControl/>
              <w:tabs>
                <w:tab w:val="decimal" w:pos="172"/>
              </w:tabs>
              <w:overflowPunct w:val="0"/>
              <w:jc w:val="center"/>
              <w:textAlignment w:val="baseline"/>
              <w:rPr>
                <w:b/>
                <w:sz w:val="18"/>
                <w:szCs w:val="18"/>
              </w:rPr>
            </w:pPr>
          </w:p>
          <w:p w:rsidR="00602F5D" w:rsidRPr="007D313C" w:rsidRDefault="00602F5D" w:rsidP="00602F5D">
            <w:pPr>
              <w:widowControl/>
              <w:tabs>
                <w:tab w:val="decimal" w:pos="172"/>
              </w:tabs>
              <w:overflowPunct w:val="0"/>
              <w:jc w:val="center"/>
              <w:textAlignment w:val="baseline"/>
              <w:rPr>
                <w:b/>
                <w:sz w:val="18"/>
                <w:szCs w:val="18"/>
              </w:rPr>
            </w:pPr>
            <w:r w:rsidRPr="007D313C">
              <w:rPr>
                <w:b/>
                <w:sz w:val="18"/>
                <w:szCs w:val="18"/>
              </w:rPr>
              <w:t>Loss Reclassified</w:t>
            </w:r>
          </w:p>
          <w:p w:rsidR="00602F5D" w:rsidRPr="007D313C" w:rsidRDefault="00602F5D" w:rsidP="00602F5D">
            <w:pPr>
              <w:widowControl/>
              <w:tabs>
                <w:tab w:val="decimal" w:pos="172"/>
              </w:tabs>
              <w:overflowPunct w:val="0"/>
              <w:jc w:val="center"/>
              <w:textAlignment w:val="baseline"/>
              <w:rPr>
                <w:b/>
                <w:sz w:val="18"/>
                <w:szCs w:val="18"/>
              </w:rPr>
            </w:pPr>
            <w:r w:rsidRPr="007D313C">
              <w:rPr>
                <w:b/>
                <w:sz w:val="18"/>
                <w:szCs w:val="18"/>
              </w:rPr>
              <w:t>from OCI into Income (b)</w:t>
            </w:r>
          </w:p>
        </w:tc>
        <w:tc>
          <w:tcPr>
            <w:tcW w:w="236" w:type="dxa"/>
            <w:vAlign w:val="bottom"/>
          </w:tcPr>
          <w:p w:rsidR="00602F5D" w:rsidRPr="007D313C" w:rsidRDefault="00602F5D" w:rsidP="00602F5D">
            <w:pPr>
              <w:widowControl/>
              <w:tabs>
                <w:tab w:val="decimal" w:pos="172"/>
              </w:tabs>
              <w:overflowPunct w:val="0"/>
              <w:jc w:val="center"/>
              <w:textAlignment w:val="baseline"/>
              <w:rPr>
                <w:b/>
                <w:sz w:val="18"/>
                <w:szCs w:val="18"/>
              </w:rPr>
            </w:pPr>
          </w:p>
        </w:tc>
        <w:tc>
          <w:tcPr>
            <w:tcW w:w="1202" w:type="dxa"/>
            <w:tcBorders>
              <w:top w:val="single" w:sz="6" w:space="0" w:color="auto"/>
              <w:bottom w:val="single" w:sz="4" w:space="0" w:color="auto"/>
            </w:tcBorders>
            <w:vAlign w:val="bottom"/>
          </w:tcPr>
          <w:p w:rsidR="00602F5D" w:rsidRPr="007D313C" w:rsidRDefault="00602F5D" w:rsidP="00602F5D">
            <w:pPr>
              <w:widowControl/>
              <w:tabs>
                <w:tab w:val="decimal" w:pos="172"/>
              </w:tabs>
              <w:overflowPunct w:val="0"/>
              <w:ind w:right="-143"/>
              <w:jc w:val="center"/>
              <w:textAlignment w:val="baseline"/>
              <w:rPr>
                <w:b/>
                <w:sz w:val="18"/>
                <w:szCs w:val="18"/>
              </w:rPr>
            </w:pPr>
            <w:r w:rsidRPr="007D313C">
              <w:rPr>
                <w:b/>
                <w:sz w:val="18"/>
                <w:szCs w:val="18"/>
              </w:rPr>
              <w:t>Classification of Loss Recognized Directly in Income on Derivative</w:t>
            </w:r>
          </w:p>
        </w:tc>
        <w:tc>
          <w:tcPr>
            <w:tcW w:w="1165" w:type="dxa"/>
            <w:tcBorders>
              <w:top w:val="single" w:sz="6" w:space="0" w:color="auto"/>
              <w:bottom w:val="single" w:sz="4" w:space="0" w:color="auto"/>
            </w:tcBorders>
            <w:vAlign w:val="bottom"/>
          </w:tcPr>
          <w:p w:rsidR="00602F5D" w:rsidRPr="007D313C" w:rsidRDefault="00602F5D" w:rsidP="00602F5D">
            <w:pPr>
              <w:widowControl/>
              <w:tabs>
                <w:tab w:val="left" w:pos="486"/>
                <w:tab w:val="decimal" w:pos="1297"/>
              </w:tabs>
              <w:overflowPunct w:val="0"/>
              <w:jc w:val="center"/>
              <w:textAlignment w:val="baseline"/>
              <w:rPr>
                <w:b/>
                <w:bCs/>
                <w:sz w:val="18"/>
                <w:szCs w:val="18"/>
              </w:rPr>
            </w:pPr>
            <w:r w:rsidRPr="007D313C">
              <w:rPr>
                <w:b/>
                <w:bCs/>
                <w:sz w:val="18"/>
                <w:szCs w:val="18"/>
              </w:rPr>
              <w:t>(Gain) Loss Recognized Directly in Income on Derivative (c)</w:t>
            </w:r>
          </w:p>
        </w:tc>
      </w:tr>
      <w:tr w:rsidR="00602F5D" w:rsidRPr="0053635E" w:rsidTr="007865C4">
        <w:trPr>
          <w:trHeight w:val="77"/>
          <w:jc w:val="center"/>
        </w:trPr>
        <w:tc>
          <w:tcPr>
            <w:tcW w:w="1779" w:type="dxa"/>
            <w:tcBorders>
              <w:top w:val="single" w:sz="4" w:space="0" w:color="auto"/>
            </w:tcBorders>
            <w:vAlign w:val="bottom"/>
          </w:tcPr>
          <w:p w:rsidR="00602F5D" w:rsidRPr="0053635E" w:rsidRDefault="00602F5D" w:rsidP="00602F5D">
            <w:pPr>
              <w:widowControl/>
              <w:tabs>
                <w:tab w:val="left" w:pos="565"/>
                <w:tab w:val="decimal" w:pos="941"/>
              </w:tabs>
              <w:overflowPunct w:val="0"/>
              <w:jc w:val="center"/>
              <w:textAlignment w:val="baseline"/>
              <w:rPr>
                <w:bCs/>
                <w:sz w:val="18"/>
                <w:szCs w:val="18"/>
                <w:highlight w:val="yellow"/>
              </w:rPr>
            </w:pPr>
          </w:p>
        </w:tc>
        <w:tc>
          <w:tcPr>
            <w:tcW w:w="1259" w:type="dxa"/>
            <w:tcBorders>
              <w:top w:val="single" w:sz="4" w:space="0" w:color="auto"/>
            </w:tcBorders>
          </w:tcPr>
          <w:p w:rsidR="00602F5D" w:rsidRPr="0053635E" w:rsidRDefault="00602F5D" w:rsidP="00602F5D">
            <w:pPr>
              <w:widowControl/>
              <w:tabs>
                <w:tab w:val="left" w:pos="486"/>
                <w:tab w:val="decimal" w:pos="1297"/>
              </w:tabs>
              <w:overflowPunct w:val="0"/>
              <w:jc w:val="center"/>
              <w:textAlignment w:val="baseline"/>
              <w:rPr>
                <w:bCs/>
                <w:sz w:val="18"/>
                <w:szCs w:val="18"/>
                <w:highlight w:val="yellow"/>
              </w:rPr>
            </w:pPr>
          </w:p>
        </w:tc>
        <w:tc>
          <w:tcPr>
            <w:tcW w:w="1419" w:type="dxa"/>
            <w:vAlign w:val="bottom"/>
          </w:tcPr>
          <w:p w:rsidR="00602F5D" w:rsidRPr="0053635E" w:rsidRDefault="00602F5D" w:rsidP="00602F5D">
            <w:pPr>
              <w:widowControl/>
              <w:tabs>
                <w:tab w:val="left" w:pos="486"/>
                <w:tab w:val="decimal" w:pos="1297"/>
              </w:tabs>
              <w:overflowPunct w:val="0"/>
              <w:jc w:val="center"/>
              <w:textAlignment w:val="baseline"/>
              <w:rPr>
                <w:bCs/>
                <w:sz w:val="18"/>
                <w:szCs w:val="18"/>
                <w:highlight w:val="yellow"/>
              </w:rPr>
            </w:pPr>
          </w:p>
        </w:tc>
        <w:tc>
          <w:tcPr>
            <w:tcW w:w="1306" w:type="dxa"/>
          </w:tcPr>
          <w:p w:rsidR="00602F5D" w:rsidRPr="0053635E" w:rsidRDefault="00602F5D" w:rsidP="00602F5D">
            <w:pPr>
              <w:widowControl/>
              <w:tabs>
                <w:tab w:val="decimal" w:pos="172"/>
              </w:tabs>
              <w:overflowPunct w:val="0"/>
              <w:jc w:val="center"/>
              <w:textAlignment w:val="baseline"/>
              <w:rPr>
                <w:sz w:val="18"/>
                <w:szCs w:val="18"/>
                <w:highlight w:val="yellow"/>
              </w:rPr>
            </w:pPr>
          </w:p>
        </w:tc>
        <w:tc>
          <w:tcPr>
            <w:tcW w:w="1261" w:type="dxa"/>
            <w:vAlign w:val="bottom"/>
          </w:tcPr>
          <w:p w:rsidR="00602F5D" w:rsidRPr="0053635E" w:rsidRDefault="00602F5D" w:rsidP="00602F5D">
            <w:pPr>
              <w:widowControl/>
              <w:tabs>
                <w:tab w:val="left" w:pos="486"/>
                <w:tab w:val="decimal" w:pos="1297"/>
              </w:tabs>
              <w:overflowPunct w:val="0"/>
              <w:jc w:val="center"/>
              <w:textAlignment w:val="baseline"/>
              <w:rPr>
                <w:bCs/>
                <w:sz w:val="18"/>
                <w:szCs w:val="18"/>
                <w:highlight w:val="yellow"/>
              </w:rPr>
            </w:pPr>
          </w:p>
        </w:tc>
        <w:tc>
          <w:tcPr>
            <w:tcW w:w="236" w:type="dxa"/>
          </w:tcPr>
          <w:p w:rsidR="00602F5D" w:rsidRPr="0053635E" w:rsidRDefault="00602F5D" w:rsidP="00602F5D">
            <w:pPr>
              <w:widowControl/>
              <w:tabs>
                <w:tab w:val="decimal" w:pos="172"/>
              </w:tabs>
              <w:overflowPunct w:val="0"/>
              <w:jc w:val="center"/>
              <w:textAlignment w:val="baseline"/>
              <w:rPr>
                <w:sz w:val="18"/>
                <w:szCs w:val="18"/>
                <w:highlight w:val="yellow"/>
              </w:rPr>
            </w:pPr>
          </w:p>
        </w:tc>
        <w:tc>
          <w:tcPr>
            <w:tcW w:w="1202" w:type="dxa"/>
            <w:vAlign w:val="bottom"/>
          </w:tcPr>
          <w:p w:rsidR="00602F5D" w:rsidRPr="0053635E" w:rsidRDefault="00602F5D" w:rsidP="00602F5D">
            <w:pPr>
              <w:widowControl/>
              <w:tabs>
                <w:tab w:val="decimal" w:pos="172"/>
              </w:tabs>
              <w:overflowPunct w:val="0"/>
              <w:jc w:val="center"/>
              <w:textAlignment w:val="baseline"/>
              <w:rPr>
                <w:sz w:val="18"/>
                <w:szCs w:val="18"/>
                <w:highlight w:val="yellow"/>
              </w:rPr>
            </w:pPr>
          </w:p>
        </w:tc>
        <w:tc>
          <w:tcPr>
            <w:tcW w:w="1165" w:type="dxa"/>
            <w:vAlign w:val="bottom"/>
          </w:tcPr>
          <w:p w:rsidR="00602F5D" w:rsidRPr="0053635E" w:rsidRDefault="00602F5D" w:rsidP="00602F5D">
            <w:pPr>
              <w:widowControl/>
              <w:tabs>
                <w:tab w:val="left" w:pos="486"/>
                <w:tab w:val="decimal" w:pos="1297"/>
              </w:tabs>
              <w:overflowPunct w:val="0"/>
              <w:jc w:val="center"/>
              <w:textAlignment w:val="baseline"/>
              <w:rPr>
                <w:bCs/>
                <w:sz w:val="18"/>
                <w:szCs w:val="18"/>
                <w:highlight w:val="yellow"/>
              </w:rPr>
            </w:pPr>
          </w:p>
        </w:tc>
      </w:tr>
      <w:tr w:rsidR="00602F5D" w:rsidRPr="006B7507" w:rsidTr="007865C4">
        <w:trPr>
          <w:trHeight w:val="180"/>
          <w:jc w:val="center"/>
        </w:trPr>
        <w:tc>
          <w:tcPr>
            <w:tcW w:w="1779" w:type="dxa"/>
            <w:vAlign w:val="bottom"/>
          </w:tcPr>
          <w:p w:rsidR="00602F5D" w:rsidRPr="007D313C" w:rsidRDefault="00602F5D" w:rsidP="00C74DF8">
            <w:pPr>
              <w:widowControl/>
              <w:overflowPunct w:val="0"/>
              <w:textAlignment w:val="baseline"/>
              <w:rPr>
                <w:bCs/>
                <w:sz w:val="18"/>
                <w:szCs w:val="18"/>
              </w:rPr>
            </w:pPr>
            <w:r w:rsidRPr="007D313C">
              <w:rPr>
                <w:bCs/>
                <w:sz w:val="18"/>
                <w:szCs w:val="18"/>
              </w:rPr>
              <w:t xml:space="preserve">Three Months ended </w:t>
            </w:r>
            <w:r w:rsidR="00C74DF8" w:rsidRPr="007D313C">
              <w:rPr>
                <w:bCs/>
                <w:sz w:val="18"/>
                <w:szCs w:val="18"/>
              </w:rPr>
              <w:t>March</w:t>
            </w:r>
            <w:r w:rsidRPr="007D313C">
              <w:rPr>
                <w:bCs/>
                <w:sz w:val="18"/>
                <w:szCs w:val="18"/>
              </w:rPr>
              <w:t xml:space="preserve"> 3</w:t>
            </w:r>
            <w:r w:rsidR="00C74DF8" w:rsidRPr="007D313C">
              <w:rPr>
                <w:bCs/>
                <w:sz w:val="18"/>
                <w:szCs w:val="18"/>
              </w:rPr>
              <w:t>1</w:t>
            </w:r>
            <w:r w:rsidRPr="007D313C">
              <w:rPr>
                <w:bCs/>
                <w:sz w:val="18"/>
                <w:szCs w:val="18"/>
              </w:rPr>
              <w:t>, 201</w:t>
            </w:r>
            <w:r w:rsidR="00C74DF8" w:rsidRPr="007D313C">
              <w:rPr>
                <w:bCs/>
                <w:sz w:val="18"/>
                <w:szCs w:val="18"/>
              </w:rPr>
              <w:t>4</w:t>
            </w:r>
          </w:p>
        </w:tc>
        <w:tc>
          <w:tcPr>
            <w:tcW w:w="1259" w:type="dxa"/>
            <w:vAlign w:val="bottom"/>
          </w:tcPr>
          <w:p w:rsidR="00602F5D" w:rsidRPr="007D313C" w:rsidRDefault="00602F5D" w:rsidP="00602F5D">
            <w:pPr>
              <w:widowControl/>
              <w:overflowPunct w:val="0"/>
              <w:textAlignment w:val="baseline"/>
              <w:rPr>
                <w:bCs/>
                <w:sz w:val="18"/>
                <w:szCs w:val="18"/>
              </w:rPr>
            </w:pPr>
            <w:r w:rsidRPr="007D313C">
              <w:rPr>
                <w:bCs/>
                <w:sz w:val="18"/>
                <w:szCs w:val="18"/>
              </w:rPr>
              <w:t>Interest rate derivatives</w:t>
            </w:r>
          </w:p>
        </w:tc>
        <w:tc>
          <w:tcPr>
            <w:tcW w:w="1419" w:type="dxa"/>
            <w:vAlign w:val="bottom"/>
          </w:tcPr>
          <w:p w:rsidR="00602F5D" w:rsidRPr="006B7507" w:rsidRDefault="00602F5D" w:rsidP="006B7507">
            <w:pPr>
              <w:widowControl/>
              <w:tabs>
                <w:tab w:val="left" w:pos="115"/>
                <w:tab w:val="decimal" w:pos="1297"/>
              </w:tabs>
              <w:overflowPunct w:val="0"/>
              <w:jc w:val="center"/>
              <w:textAlignment w:val="baseline"/>
              <w:rPr>
                <w:bCs/>
                <w:sz w:val="18"/>
                <w:szCs w:val="18"/>
              </w:rPr>
            </w:pPr>
            <w:r w:rsidRPr="006B7507">
              <w:rPr>
                <w:bCs/>
                <w:sz w:val="18"/>
                <w:szCs w:val="18"/>
              </w:rPr>
              <w:t xml:space="preserve"> $  </w:t>
            </w:r>
            <w:r w:rsidR="009D7BF4" w:rsidRPr="006B7507">
              <w:rPr>
                <w:bCs/>
                <w:sz w:val="18"/>
                <w:szCs w:val="18"/>
              </w:rPr>
              <w:t xml:space="preserve"> </w:t>
            </w:r>
            <w:r w:rsidR="008A743D" w:rsidRPr="006B7507">
              <w:rPr>
                <w:bCs/>
                <w:sz w:val="18"/>
                <w:szCs w:val="18"/>
              </w:rPr>
              <w:t xml:space="preserve">  </w:t>
            </w:r>
            <w:r w:rsidR="006B7507">
              <w:rPr>
                <w:bCs/>
                <w:sz w:val="18"/>
                <w:szCs w:val="18"/>
              </w:rPr>
              <w:t xml:space="preserve">  </w:t>
            </w:r>
            <w:r w:rsidR="008A743D" w:rsidRPr="006B7507">
              <w:rPr>
                <w:bCs/>
                <w:sz w:val="18"/>
                <w:szCs w:val="18"/>
              </w:rPr>
              <w:t xml:space="preserve"> </w:t>
            </w:r>
            <w:r w:rsidR="00CB1B18" w:rsidRPr="006B7507">
              <w:rPr>
                <w:bCs/>
                <w:sz w:val="18"/>
                <w:szCs w:val="18"/>
              </w:rPr>
              <w:t xml:space="preserve">    </w:t>
            </w:r>
            <w:r w:rsidRPr="006B7507">
              <w:rPr>
                <w:bCs/>
                <w:sz w:val="18"/>
                <w:szCs w:val="18"/>
              </w:rPr>
              <w:t xml:space="preserve"> </w:t>
            </w:r>
            <w:r w:rsidR="00CB1B18" w:rsidRPr="006B7507">
              <w:rPr>
                <w:bCs/>
                <w:sz w:val="18"/>
                <w:szCs w:val="18"/>
              </w:rPr>
              <w:t>(</w:t>
            </w:r>
            <w:r w:rsidR="006B7507" w:rsidRPr="006B7507">
              <w:rPr>
                <w:bCs/>
                <w:sz w:val="18"/>
                <w:szCs w:val="18"/>
              </w:rPr>
              <w:t>409</w:t>
            </w:r>
            <w:r w:rsidR="00CB1B18" w:rsidRPr="006B7507">
              <w:rPr>
                <w:bCs/>
                <w:sz w:val="18"/>
                <w:szCs w:val="18"/>
              </w:rPr>
              <w:t>)</w:t>
            </w:r>
          </w:p>
        </w:tc>
        <w:tc>
          <w:tcPr>
            <w:tcW w:w="1306" w:type="dxa"/>
          </w:tcPr>
          <w:p w:rsidR="00602F5D" w:rsidRPr="006B7507" w:rsidRDefault="00602F5D" w:rsidP="00602F5D">
            <w:pPr>
              <w:widowControl/>
              <w:tabs>
                <w:tab w:val="decimal" w:pos="172"/>
              </w:tabs>
              <w:overflowPunct w:val="0"/>
              <w:jc w:val="center"/>
              <w:textAlignment w:val="baseline"/>
              <w:rPr>
                <w:sz w:val="18"/>
                <w:szCs w:val="18"/>
              </w:rPr>
            </w:pPr>
            <w:r w:rsidRPr="006B7507">
              <w:rPr>
                <w:sz w:val="18"/>
                <w:szCs w:val="18"/>
              </w:rPr>
              <w:t>Interest expense</w:t>
            </w:r>
          </w:p>
        </w:tc>
        <w:tc>
          <w:tcPr>
            <w:tcW w:w="1261" w:type="dxa"/>
            <w:vAlign w:val="bottom"/>
          </w:tcPr>
          <w:p w:rsidR="00602F5D" w:rsidRPr="006B7507" w:rsidRDefault="00602F5D" w:rsidP="005267D0">
            <w:pPr>
              <w:widowControl/>
              <w:tabs>
                <w:tab w:val="left" w:pos="115"/>
                <w:tab w:val="decimal" w:pos="851"/>
              </w:tabs>
              <w:overflowPunct w:val="0"/>
              <w:jc w:val="center"/>
              <w:textAlignment w:val="baseline"/>
              <w:rPr>
                <w:bCs/>
                <w:sz w:val="18"/>
                <w:szCs w:val="18"/>
              </w:rPr>
            </w:pPr>
            <w:r w:rsidRPr="006B7507">
              <w:rPr>
                <w:bCs/>
                <w:sz w:val="18"/>
                <w:szCs w:val="18"/>
              </w:rPr>
              <w:t xml:space="preserve">$ </w:t>
            </w:r>
            <w:r w:rsidR="003C4F94" w:rsidRPr="006B7507">
              <w:rPr>
                <w:bCs/>
                <w:sz w:val="18"/>
                <w:szCs w:val="18"/>
              </w:rPr>
              <w:t xml:space="preserve">      </w:t>
            </w:r>
            <w:r w:rsidRPr="006B7507">
              <w:rPr>
                <w:bCs/>
                <w:sz w:val="18"/>
                <w:szCs w:val="18"/>
              </w:rPr>
              <w:t xml:space="preserve">     </w:t>
            </w:r>
            <w:r w:rsidR="008A743D" w:rsidRPr="006B7507">
              <w:rPr>
                <w:bCs/>
                <w:sz w:val="18"/>
                <w:szCs w:val="18"/>
              </w:rPr>
              <w:t>3</w:t>
            </w:r>
            <w:r w:rsidRPr="006B7507">
              <w:rPr>
                <w:bCs/>
                <w:sz w:val="18"/>
                <w:szCs w:val="18"/>
              </w:rPr>
              <w:t>,</w:t>
            </w:r>
            <w:r w:rsidR="006B7507" w:rsidRPr="006B7507">
              <w:rPr>
                <w:bCs/>
                <w:sz w:val="18"/>
                <w:szCs w:val="18"/>
              </w:rPr>
              <w:t>06</w:t>
            </w:r>
            <w:r w:rsidR="005267D0">
              <w:rPr>
                <w:bCs/>
                <w:sz w:val="18"/>
                <w:szCs w:val="18"/>
              </w:rPr>
              <w:t>5</w:t>
            </w:r>
          </w:p>
        </w:tc>
        <w:tc>
          <w:tcPr>
            <w:tcW w:w="236" w:type="dxa"/>
          </w:tcPr>
          <w:p w:rsidR="00602F5D" w:rsidRPr="0053635E" w:rsidRDefault="00602F5D" w:rsidP="00602F5D">
            <w:pPr>
              <w:widowControl/>
              <w:tabs>
                <w:tab w:val="decimal" w:pos="172"/>
              </w:tabs>
              <w:overflowPunct w:val="0"/>
              <w:jc w:val="center"/>
              <w:textAlignment w:val="baseline"/>
              <w:rPr>
                <w:sz w:val="18"/>
                <w:szCs w:val="18"/>
                <w:highlight w:val="yellow"/>
              </w:rPr>
            </w:pPr>
          </w:p>
        </w:tc>
        <w:tc>
          <w:tcPr>
            <w:tcW w:w="1202" w:type="dxa"/>
            <w:vAlign w:val="bottom"/>
          </w:tcPr>
          <w:p w:rsidR="00602F5D" w:rsidRPr="007D313C" w:rsidRDefault="00602F5D" w:rsidP="00602F5D">
            <w:pPr>
              <w:widowControl/>
              <w:tabs>
                <w:tab w:val="decimal" w:pos="172"/>
              </w:tabs>
              <w:overflowPunct w:val="0"/>
              <w:jc w:val="center"/>
              <w:textAlignment w:val="baseline"/>
              <w:rPr>
                <w:sz w:val="18"/>
                <w:szCs w:val="18"/>
              </w:rPr>
            </w:pPr>
            <w:r w:rsidRPr="007D313C">
              <w:rPr>
                <w:sz w:val="18"/>
                <w:szCs w:val="18"/>
              </w:rPr>
              <w:t>Interest expense</w:t>
            </w:r>
          </w:p>
        </w:tc>
        <w:tc>
          <w:tcPr>
            <w:tcW w:w="1165" w:type="dxa"/>
            <w:vAlign w:val="bottom"/>
          </w:tcPr>
          <w:p w:rsidR="00602F5D" w:rsidRPr="006B7507" w:rsidRDefault="00602F5D" w:rsidP="006B7507">
            <w:pPr>
              <w:widowControl/>
              <w:tabs>
                <w:tab w:val="left" w:pos="564"/>
                <w:tab w:val="decimal" w:pos="1297"/>
              </w:tabs>
              <w:overflowPunct w:val="0"/>
              <w:jc w:val="center"/>
              <w:textAlignment w:val="baseline"/>
              <w:rPr>
                <w:bCs/>
                <w:sz w:val="18"/>
                <w:szCs w:val="18"/>
              </w:rPr>
            </w:pPr>
            <w:r w:rsidRPr="006B7507">
              <w:rPr>
                <w:bCs/>
                <w:sz w:val="18"/>
                <w:szCs w:val="18"/>
              </w:rPr>
              <w:t xml:space="preserve">$  </w:t>
            </w:r>
            <w:r w:rsidR="003C4F94" w:rsidRPr="006B7507">
              <w:rPr>
                <w:bCs/>
                <w:sz w:val="18"/>
                <w:szCs w:val="18"/>
              </w:rPr>
              <w:t xml:space="preserve"> </w:t>
            </w:r>
            <w:r w:rsidRPr="006B7507">
              <w:rPr>
                <w:bCs/>
                <w:sz w:val="18"/>
                <w:szCs w:val="18"/>
              </w:rPr>
              <w:t xml:space="preserve">         </w:t>
            </w:r>
            <w:r w:rsidR="008A743D" w:rsidRPr="006B7507">
              <w:rPr>
                <w:bCs/>
                <w:sz w:val="18"/>
                <w:szCs w:val="18"/>
              </w:rPr>
              <w:t>(</w:t>
            </w:r>
            <w:r w:rsidR="001811BC" w:rsidRPr="006B7507">
              <w:rPr>
                <w:bCs/>
                <w:sz w:val="18"/>
                <w:szCs w:val="18"/>
              </w:rPr>
              <w:t>2</w:t>
            </w:r>
            <w:r w:rsidR="006B7507" w:rsidRPr="006B7507">
              <w:rPr>
                <w:bCs/>
                <w:sz w:val="18"/>
                <w:szCs w:val="18"/>
              </w:rPr>
              <w:t>1</w:t>
            </w:r>
            <w:r w:rsidR="008A743D" w:rsidRPr="006B7507">
              <w:rPr>
                <w:bCs/>
                <w:sz w:val="18"/>
                <w:szCs w:val="18"/>
              </w:rPr>
              <w:t>)</w:t>
            </w:r>
          </w:p>
        </w:tc>
      </w:tr>
      <w:tr w:rsidR="00602F5D" w:rsidRPr="0053635E" w:rsidTr="007865C4">
        <w:trPr>
          <w:trHeight w:val="180"/>
          <w:jc w:val="center"/>
        </w:trPr>
        <w:tc>
          <w:tcPr>
            <w:tcW w:w="1779" w:type="dxa"/>
            <w:vAlign w:val="bottom"/>
          </w:tcPr>
          <w:p w:rsidR="00602F5D" w:rsidRPr="0053635E" w:rsidRDefault="00602F5D" w:rsidP="00602F5D">
            <w:pPr>
              <w:widowControl/>
              <w:overflowPunct w:val="0"/>
              <w:textAlignment w:val="baseline"/>
              <w:rPr>
                <w:bCs/>
                <w:sz w:val="18"/>
                <w:szCs w:val="18"/>
                <w:highlight w:val="yellow"/>
              </w:rPr>
            </w:pPr>
          </w:p>
        </w:tc>
        <w:tc>
          <w:tcPr>
            <w:tcW w:w="1259" w:type="dxa"/>
            <w:vAlign w:val="bottom"/>
          </w:tcPr>
          <w:p w:rsidR="00602F5D" w:rsidRPr="0053635E" w:rsidRDefault="00602F5D" w:rsidP="00602F5D">
            <w:pPr>
              <w:widowControl/>
              <w:overflowPunct w:val="0"/>
              <w:textAlignment w:val="baseline"/>
              <w:rPr>
                <w:bCs/>
                <w:sz w:val="18"/>
                <w:szCs w:val="18"/>
                <w:highlight w:val="yellow"/>
              </w:rPr>
            </w:pPr>
          </w:p>
        </w:tc>
        <w:tc>
          <w:tcPr>
            <w:tcW w:w="1419" w:type="dxa"/>
            <w:vAlign w:val="bottom"/>
          </w:tcPr>
          <w:p w:rsidR="00602F5D" w:rsidRPr="0053635E" w:rsidRDefault="00602F5D" w:rsidP="00602F5D">
            <w:pPr>
              <w:widowControl/>
              <w:tabs>
                <w:tab w:val="left" w:pos="486"/>
                <w:tab w:val="decimal" w:pos="1297"/>
              </w:tabs>
              <w:overflowPunct w:val="0"/>
              <w:jc w:val="center"/>
              <w:textAlignment w:val="baseline"/>
              <w:rPr>
                <w:bCs/>
                <w:sz w:val="18"/>
                <w:szCs w:val="18"/>
                <w:highlight w:val="yellow"/>
              </w:rPr>
            </w:pPr>
          </w:p>
        </w:tc>
        <w:tc>
          <w:tcPr>
            <w:tcW w:w="1306" w:type="dxa"/>
          </w:tcPr>
          <w:p w:rsidR="00602F5D" w:rsidRPr="007D313C" w:rsidRDefault="00602F5D" w:rsidP="00602F5D">
            <w:pPr>
              <w:widowControl/>
              <w:tabs>
                <w:tab w:val="decimal" w:pos="172"/>
              </w:tabs>
              <w:overflowPunct w:val="0"/>
              <w:jc w:val="center"/>
              <w:textAlignment w:val="baseline"/>
              <w:rPr>
                <w:sz w:val="18"/>
                <w:szCs w:val="18"/>
              </w:rPr>
            </w:pPr>
          </w:p>
        </w:tc>
        <w:tc>
          <w:tcPr>
            <w:tcW w:w="1261" w:type="dxa"/>
            <w:vAlign w:val="bottom"/>
          </w:tcPr>
          <w:p w:rsidR="00602F5D" w:rsidRPr="0053635E" w:rsidRDefault="00602F5D" w:rsidP="00602F5D">
            <w:pPr>
              <w:widowControl/>
              <w:tabs>
                <w:tab w:val="left" w:pos="115"/>
                <w:tab w:val="decimal" w:pos="851"/>
              </w:tabs>
              <w:overflowPunct w:val="0"/>
              <w:jc w:val="center"/>
              <w:textAlignment w:val="baseline"/>
              <w:rPr>
                <w:bCs/>
                <w:sz w:val="18"/>
                <w:szCs w:val="18"/>
                <w:highlight w:val="yellow"/>
              </w:rPr>
            </w:pPr>
          </w:p>
        </w:tc>
        <w:tc>
          <w:tcPr>
            <w:tcW w:w="236" w:type="dxa"/>
          </w:tcPr>
          <w:p w:rsidR="00602F5D" w:rsidRPr="0053635E" w:rsidRDefault="00602F5D" w:rsidP="00602F5D">
            <w:pPr>
              <w:widowControl/>
              <w:tabs>
                <w:tab w:val="decimal" w:pos="172"/>
              </w:tabs>
              <w:overflowPunct w:val="0"/>
              <w:jc w:val="center"/>
              <w:textAlignment w:val="baseline"/>
              <w:rPr>
                <w:sz w:val="18"/>
                <w:szCs w:val="18"/>
                <w:highlight w:val="yellow"/>
              </w:rPr>
            </w:pPr>
          </w:p>
        </w:tc>
        <w:tc>
          <w:tcPr>
            <w:tcW w:w="1202" w:type="dxa"/>
            <w:vAlign w:val="bottom"/>
          </w:tcPr>
          <w:p w:rsidR="00602F5D" w:rsidRPr="007D313C" w:rsidRDefault="00602F5D" w:rsidP="00602F5D">
            <w:pPr>
              <w:widowControl/>
              <w:tabs>
                <w:tab w:val="decimal" w:pos="172"/>
              </w:tabs>
              <w:overflowPunct w:val="0"/>
              <w:jc w:val="center"/>
              <w:textAlignment w:val="baseline"/>
              <w:rPr>
                <w:sz w:val="18"/>
                <w:szCs w:val="18"/>
              </w:rPr>
            </w:pPr>
          </w:p>
        </w:tc>
        <w:tc>
          <w:tcPr>
            <w:tcW w:w="1165" w:type="dxa"/>
            <w:vAlign w:val="bottom"/>
          </w:tcPr>
          <w:p w:rsidR="00602F5D" w:rsidRPr="0053635E" w:rsidRDefault="00602F5D" w:rsidP="00602F5D">
            <w:pPr>
              <w:widowControl/>
              <w:tabs>
                <w:tab w:val="left" w:pos="486"/>
                <w:tab w:val="decimal" w:pos="1297"/>
              </w:tabs>
              <w:overflowPunct w:val="0"/>
              <w:jc w:val="center"/>
              <w:textAlignment w:val="baseline"/>
              <w:rPr>
                <w:bCs/>
                <w:sz w:val="18"/>
                <w:szCs w:val="18"/>
                <w:highlight w:val="yellow"/>
              </w:rPr>
            </w:pPr>
          </w:p>
        </w:tc>
      </w:tr>
      <w:tr w:rsidR="00602F5D" w:rsidRPr="0053635E" w:rsidTr="007865C4">
        <w:trPr>
          <w:trHeight w:val="180"/>
          <w:jc w:val="center"/>
        </w:trPr>
        <w:tc>
          <w:tcPr>
            <w:tcW w:w="1779" w:type="dxa"/>
            <w:vAlign w:val="bottom"/>
          </w:tcPr>
          <w:p w:rsidR="00602F5D" w:rsidRPr="007D313C" w:rsidRDefault="00C74DF8" w:rsidP="00C74DF8">
            <w:pPr>
              <w:widowControl/>
              <w:overflowPunct w:val="0"/>
              <w:textAlignment w:val="baseline"/>
              <w:rPr>
                <w:bCs/>
                <w:sz w:val="18"/>
                <w:szCs w:val="18"/>
              </w:rPr>
            </w:pPr>
            <w:r w:rsidRPr="007D313C">
              <w:rPr>
                <w:bCs/>
                <w:sz w:val="18"/>
                <w:szCs w:val="18"/>
              </w:rPr>
              <w:t>Three</w:t>
            </w:r>
            <w:r w:rsidR="007D528C" w:rsidRPr="007D313C">
              <w:rPr>
                <w:bCs/>
                <w:sz w:val="18"/>
                <w:szCs w:val="18"/>
              </w:rPr>
              <w:t xml:space="preserve"> Months ended </w:t>
            </w:r>
            <w:r w:rsidRPr="007D313C">
              <w:rPr>
                <w:bCs/>
                <w:sz w:val="18"/>
                <w:szCs w:val="18"/>
              </w:rPr>
              <w:t>March</w:t>
            </w:r>
            <w:r w:rsidR="00602F5D" w:rsidRPr="007D313C">
              <w:rPr>
                <w:bCs/>
                <w:sz w:val="18"/>
                <w:szCs w:val="18"/>
              </w:rPr>
              <w:t xml:space="preserve"> 3</w:t>
            </w:r>
            <w:r w:rsidRPr="007D313C">
              <w:rPr>
                <w:bCs/>
                <w:sz w:val="18"/>
                <w:szCs w:val="18"/>
              </w:rPr>
              <w:t>1</w:t>
            </w:r>
            <w:r w:rsidR="00602F5D" w:rsidRPr="007D313C">
              <w:rPr>
                <w:bCs/>
                <w:sz w:val="18"/>
                <w:szCs w:val="18"/>
              </w:rPr>
              <w:t>, 2013</w:t>
            </w:r>
          </w:p>
        </w:tc>
        <w:tc>
          <w:tcPr>
            <w:tcW w:w="1259" w:type="dxa"/>
            <w:vAlign w:val="bottom"/>
          </w:tcPr>
          <w:p w:rsidR="00602F5D" w:rsidRPr="007D313C" w:rsidRDefault="00602F5D" w:rsidP="00602F5D">
            <w:pPr>
              <w:widowControl/>
              <w:overflowPunct w:val="0"/>
              <w:textAlignment w:val="baseline"/>
              <w:rPr>
                <w:bCs/>
                <w:sz w:val="18"/>
                <w:szCs w:val="18"/>
              </w:rPr>
            </w:pPr>
            <w:r w:rsidRPr="007D313C">
              <w:rPr>
                <w:bCs/>
                <w:sz w:val="18"/>
                <w:szCs w:val="18"/>
              </w:rPr>
              <w:t>Interest rate derivatives</w:t>
            </w:r>
          </w:p>
        </w:tc>
        <w:tc>
          <w:tcPr>
            <w:tcW w:w="1419" w:type="dxa"/>
            <w:vAlign w:val="bottom"/>
          </w:tcPr>
          <w:p w:rsidR="00602F5D" w:rsidRPr="007D313C" w:rsidRDefault="00602F5D" w:rsidP="007D313C">
            <w:pPr>
              <w:widowControl/>
              <w:tabs>
                <w:tab w:val="left" w:pos="115"/>
                <w:tab w:val="left" w:pos="408"/>
                <w:tab w:val="decimal" w:pos="1297"/>
              </w:tabs>
              <w:overflowPunct w:val="0"/>
              <w:jc w:val="center"/>
              <w:textAlignment w:val="baseline"/>
              <w:rPr>
                <w:bCs/>
                <w:sz w:val="18"/>
                <w:szCs w:val="18"/>
              </w:rPr>
            </w:pPr>
            <w:r w:rsidRPr="007D313C">
              <w:rPr>
                <w:bCs/>
                <w:sz w:val="18"/>
                <w:szCs w:val="18"/>
              </w:rPr>
              <w:t xml:space="preserve">  $  </w:t>
            </w:r>
            <w:r w:rsidR="003C4F94" w:rsidRPr="007D313C">
              <w:rPr>
                <w:bCs/>
                <w:sz w:val="18"/>
                <w:szCs w:val="18"/>
              </w:rPr>
              <w:t xml:space="preserve"> </w:t>
            </w:r>
            <w:r w:rsidRPr="007D313C">
              <w:rPr>
                <w:bCs/>
                <w:sz w:val="18"/>
                <w:szCs w:val="18"/>
              </w:rPr>
              <w:t xml:space="preserve">   </w:t>
            </w:r>
            <w:r w:rsidR="008A743D" w:rsidRPr="007D313C">
              <w:rPr>
                <w:bCs/>
                <w:sz w:val="18"/>
                <w:szCs w:val="18"/>
              </w:rPr>
              <w:t xml:space="preserve">   </w:t>
            </w:r>
            <w:r w:rsidR="00CB1B18" w:rsidRPr="007D313C">
              <w:rPr>
                <w:bCs/>
                <w:sz w:val="18"/>
                <w:szCs w:val="18"/>
              </w:rPr>
              <w:t xml:space="preserve">     </w:t>
            </w:r>
            <w:r w:rsidR="007D313C" w:rsidRPr="007D313C">
              <w:rPr>
                <w:bCs/>
                <w:sz w:val="18"/>
                <w:szCs w:val="18"/>
              </w:rPr>
              <w:t>(435)</w:t>
            </w:r>
          </w:p>
        </w:tc>
        <w:tc>
          <w:tcPr>
            <w:tcW w:w="1306" w:type="dxa"/>
          </w:tcPr>
          <w:p w:rsidR="00602F5D" w:rsidRPr="007D313C" w:rsidRDefault="00602F5D" w:rsidP="00602F5D">
            <w:pPr>
              <w:widowControl/>
              <w:tabs>
                <w:tab w:val="decimal" w:pos="172"/>
              </w:tabs>
              <w:overflowPunct w:val="0"/>
              <w:jc w:val="center"/>
              <w:textAlignment w:val="baseline"/>
              <w:rPr>
                <w:sz w:val="18"/>
                <w:szCs w:val="18"/>
              </w:rPr>
            </w:pPr>
            <w:r w:rsidRPr="007D313C">
              <w:rPr>
                <w:sz w:val="18"/>
                <w:szCs w:val="18"/>
              </w:rPr>
              <w:t>Interest expense</w:t>
            </w:r>
          </w:p>
        </w:tc>
        <w:tc>
          <w:tcPr>
            <w:tcW w:w="1261" w:type="dxa"/>
            <w:vAlign w:val="bottom"/>
          </w:tcPr>
          <w:p w:rsidR="00602F5D" w:rsidRPr="007D313C" w:rsidRDefault="00602F5D" w:rsidP="007D313C">
            <w:pPr>
              <w:widowControl/>
              <w:tabs>
                <w:tab w:val="left" w:pos="115"/>
                <w:tab w:val="decimal" w:pos="851"/>
              </w:tabs>
              <w:overflowPunct w:val="0"/>
              <w:jc w:val="center"/>
              <w:textAlignment w:val="baseline"/>
              <w:rPr>
                <w:bCs/>
                <w:sz w:val="18"/>
                <w:szCs w:val="18"/>
              </w:rPr>
            </w:pPr>
            <w:r w:rsidRPr="007D313C">
              <w:rPr>
                <w:bCs/>
                <w:sz w:val="18"/>
                <w:szCs w:val="18"/>
              </w:rPr>
              <w:t xml:space="preserve">$  </w:t>
            </w:r>
            <w:r w:rsidR="003C4F94" w:rsidRPr="007D313C">
              <w:rPr>
                <w:bCs/>
                <w:sz w:val="18"/>
                <w:szCs w:val="18"/>
              </w:rPr>
              <w:t xml:space="preserve">       </w:t>
            </w:r>
            <w:r w:rsidRPr="007D313C">
              <w:rPr>
                <w:bCs/>
                <w:sz w:val="18"/>
                <w:szCs w:val="18"/>
              </w:rPr>
              <w:t xml:space="preserve">   </w:t>
            </w:r>
            <w:r w:rsidR="007D313C" w:rsidRPr="007D313C">
              <w:rPr>
                <w:bCs/>
                <w:sz w:val="18"/>
                <w:szCs w:val="18"/>
              </w:rPr>
              <w:t>3</w:t>
            </w:r>
            <w:r w:rsidRPr="007D313C">
              <w:rPr>
                <w:bCs/>
                <w:sz w:val="18"/>
                <w:szCs w:val="18"/>
              </w:rPr>
              <w:t>,</w:t>
            </w:r>
            <w:r w:rsidR="007D313C" w:rsidRPr="007D313C">
              <w:rPr>
                <w:bCs/>
                <w:sz w:val="18"/>
                <w:szCs w:val="18"/>
              </w:rPr>
              <w:t>324</w:t>
            </w:r>
          </w:p>
        </w:tc>
        <w:tc>
          <w:tcPr>
            <w:tcW w:w="236" w:type="dxa"/>
          </w:tcPr>
          <w:p w:rsidR="00602F5D" w:rsidRPr="007D313C" w:rsidRDefault="00602F5D" w:rsidP="00602F5D">
            <w:pPr>
              <w:widowControl/>
              <w:tabs>
                <w:tab w:val="decimal" w:pos="172"/>
              </w:tabs>
              <w:overflowPunct w:val="0"/>
              <w:jc w:val="center"/>
              <w:textAlignment w:val="baseline"/>
              <w:rPr>
                <w:sz w:val="18"/>
                <w:szCs w:val="18"/>
              </w:rPr>
            </w:pPr>
          </w:p>
        </w:tc>
        <w:tc>
          <w:tcPr>
            <w:tcW w:w="1202" w:type="dxa"/>
            <w:vAlign w:val="bottom"/>
          </w:tcPr>
          <w:p w:rsidR="00602F5D" w:rsidRPr="007D313C" w:rsidRDefault="00602F5D" w:rsidP="00602F5D">
            <w:pPr>
              <w:widowControl/>
              <w:tabs>
                <w:tab w:val="decimal" w:pos="172"/>
              </w:tabs>
              <w:overflowPunct w:val="0"/>
              <w:jc w:val="center"/>
              <w:textAlignment w:val="baseline"/>
              <w:rPr>
                <w:sz w:val="18"/>
                <w:szCs w:val="18"/>
              </w:rPr>
            </w:pPr>
            <w:r w:rsidRPr="007D313C">
              <w:rPr>
                <w:sz w:val="18"/>
                <w:szCs w:val="18"/>
              </w:rPr>
              <w:t>Interest expense</w:t>
            </w:r>
          </w:p>
        </w:tc>
        <w:tc>
          <w:tcPr>
            <w:tcW w:w="1165" w:type="dxa"/>
            <w:vAlign w:val="bottom"/>
          </w:tcPr>
          <w:p w:rsidR="00602F5D" w:rsidRPr="007D313C" w:rsidRDefault="00602F5D" w:rsidP="007D313C">
            <w:pPr>
              <w:widowControl/>
              <w:tabs>
                <w:tab w:val="left" w:pos="486"/>
                <w:tab w:val="decimal" w:pos="1297"/>
              </w:tabs>
              <w:overflowPunct w:val="0"/>
              <w:jc w:val="center"/>
              <w:textAlignment w:val="baseline"/>
              <w:rPr>
                <w:bCs/>
                <w:sz w:val="18"/>
                <w:szCs w:val="18"/>
              </w:rPr>
            </w:pPr>
            <w:r w:rsidRPr="007D313C">
              <w:rPr>
                <w:bCs/>
                <w:sz w:val="18"/>
                <w:szCs w:val="18"/>
              </w:rPr>
              <w:t xml:space="preserve">$  </w:t>
            </w:r>
            <w:r w:rsidR="008A743D" w:rsidRPr="007D313C">
              <w:rPr>
                <w:bCs/>
                <w:sz w:val="18"/>
                <w:szCs w:val="18"/>
              </w:rPr>
              <w:t xml:space="preserve">     </w:t>
            </w:r>
            <w:r w:rsidR="007D313C" w:rsidRPr="007D313C">
              <w:rPr>
                <w:bCs/>
                <w:sz w:val="18"/>
                <w:szCs w:val="18"/>
              </w:rPr>
              <w:t xml:space="preserve">        </w:t>
            </w:r>
            <w:r w:rsidR="007D313C" w:rsidRPr="007D313C">
              <w:rPr>
                <w:sz w:val="18"/>
                <w:szCs w:val="18"/>
              </w:rPr>
              <w:t>—</w:t>
            </w:r>
          </w:p>
        </w:tc>
      </w:tr>
      <w:tr w:rsidR="00602F5D" w:rsidRPr="0053635E" w:rsidTr="007865C4">
        <w:trPr>
          <w:trHeight w:val="180"/>
          <w:jc w:val="center"/>
        </w:trPr>
        <w:tc>
          <w:tcPr>
            <w:tcW w:w="1779" w:type="dxa"/>
            <w:vAlign w:val="bottom"/>
          </w:tcPr>
          <w:p w:rsidR="00602F5D" w:rsidRPr="0053635E" w:rsidRDefault="00602F5D" w:rsidP="00602F5D">
            <w:pPr>
              <w:widowControl/>
              <w:overflowPunct w:val="0"/>
              <w:textAlignment w:val="baseline"/>
              <w:rPr>
                <w:bCs/>
                <w:sz w:val="18"/>
                <w:szCs w:val="18"/>
                <w:highlight w:val="yellow"/>
              </w:rPr>
            </w:pPr>
          </w:p>
        </w:tc>
        <w:tc>
          <w:tcPr>
            <w:tcW w:w="1259" w:type="dxa"/>
            <w:vAlign w:val="bottom"/>
          </w:tcPr>
          <w:p w:rsidR="00602F5D" w:rsidRPr="0053635E" w:rsidRDefault="00602F5D" w:rsidP="00602F5D">
            <w:pPr>
              <w:widowControl/>
              <w:overflowPunct w:val="0"/>
              <w:textAlignment w:val="baseline"/>
              <w:rPr>
                <w:bCs/>
                <w:sz w:val="18"/>
                <w:szCs w:val="18"/>
                <w:highlight w:val="yellow"/>
              </w:rPr>
            </w:pPr>
          </w:p>
        </w:tc>
        <w:tc>
          <w:tcPr>
            <w:tcW w:w="1419" w:type="dxa"/>
            <w:vAlign w:val="bottom"/>
          </w:tcPr>
          <w:p w:rsidR="00602F5D" w:rsidRPr="0053635E" w:rsidRDefault="00602F5D" w:rsidP="00602F5D">
            <w:pPr>
              <w:widowControl/>
              <w:tabs>
                <w:tab w:val="left" w:pos="486"/>
                <w:tab w:val="decimal" w:pos="1297"/>
              </w:tabs>
              <w:overflowPunct w:val="0"/>
              <w:jc w:val="center"/>
              <w:textAlignment w:val="baseline"/>
              <w:rPr>
                <w:bCs/>
                <w:sz w:val="18"/>
                <w:szCs w:val="18"/>
                <w:highlight w:val="yellow"/>
              </w:rPr>
            </w:pPr>
          </w:p>
        </w:tc>
        <w:tc>
          <w:tcPr>
            <w:tcW w:w="1306" w:type="dxa"/>
          </w:tcPr>
          <w:p w:rsidR="00602F5D" w:rsidRPr="0053635E" w:rsidRDefault="00602F5D" w:rsidP="00602F5D">
            <w:pPr>
              <w:widowControl/>
              <w:tabs>
                <w:tab w:val="decimal" w:pos="172"/>
              </w:tabs>
              <w:overflowPunct w:val="0"/>
              <w:jc w:val="center"/>
              <w:textAlignment w:val="baseline"/>
              <w:rPr>
                <w:sz w:val="18"/>
                <w:szCs w:val="18"/>
                <w:highlight w:val="yellow"/>
              </w:rPr>
            </w:pPr>
          </w:p>
        </w:tc>
        <w:tc>
          <w:tcPr>
            <w:tcW w:w="1261" w:type="dxa"/>
            <w:vAlign w:val="bottom"/>
          </w:tcPr>
          <w:p w:rsidR="00602F5D" w:rsidRPr="0053635E" w:rsidRDefault="00602F5D" w:rsidP="00602F5D">
            <w:pPr>
              <w:widowControl/>
              <w:tabs>
                <w:tab w:val="left" w:pos="131"/>
                <w:tab w:val="decimal" w:pos="851"/>
              </w:tabs>
              <w:overflowPunct w:val="0"/>
              <w:jc w:val="center"/>
              <w:textAlignment w:val="baseline"/>
              <w:rPr>
                <w:bCs/>
                <w:sz w:val="18"/>
                <w:szCs w:val="18"/>
                <w:highlight w:val="yellow"/>
              </w:rPr>
            </w:pPr>
          </w:p>
        </w:tc>
        <w:tc>
          <w:tcPr>
            <w:tcW w:w="236" w:type="dxa"/>
          </w:tcPr>
          <w:p w:rsidR="00602F5D" w:rsidRPr="0053635E" w:rsidRDefault="00602F5D" w:rsidP="00602F5D">
            <w:pPr>
              <w:widowControl/>
              <w:tabs>
                <w:tab w:val="decimal" w:pos="172"/>
              </w:tabs>
              <w:overflowPunct w:val="0"/>
              <w:jc w:val="center"/>
              <w:textAlignment w:val="baseline"/>
              <w:rPr>
                <w:sz w:val="18"/>
                <w:szCs w:val="18"/>
                <w:highlight w:val="yellow"/>
              </w:rPr>
            </w:pPr>
          </w:p>
        </w:tc>
        <w:tc>
          <w:tcPr>
            <w:tcW w:w="1202" w:type="dxa"/>
            <w:vAlign w:val="bottom"/>
          </w:tcPr>
          <w:p w:rsidR="00602F5D" w:rsidRPr="007D313C" w:rsidRDefault="00602F5D" w:rsidP="00602F5D">
            <w:pPr>
              <w:widowControl/>
              <w:tabs>
                <w:tab w:val="decimal" w:pos="172"/>
              </w:tabs>
              <w:overflowPunct w:val="0"/>
              <w:jc w:val="center"/>
              <w:textAlignment w:val="baseline"/>
              <w:rPr>
                <w:sz w:val="18"/>
                <w:szCs w:val="18"/>
              </w:rPr>
            </w:pPr>
          </w:p>
        </w:tc>
        <w:tc>
          <w:tcPr>
            <w:tcW w:w="1165" w:type="dxa"/>
            <w:vAlign w:val="bottom"/>
          </w:tcPr>
          <w:p w:rsidR="00602F5D" w:rsidRPr="0053635E" w:rsidRDefault="00602F5D" w:rsidP="00602F5D">
            <w:pPr>
              <w:widowControl/>
              <w:tabs>
                <w:tab w:val="left" w:pos="486"/>
                <w:tab w:val="decimal" w:pos="1297"/>
              </w:tabs>
              <w:overflowPunct w:val="0"/>
              <w:jc w:val="center"/>
              <w:textAlignment w:val="baseline"/>
              <w:rPr>
                <w:bCs/>
                <w:sz w:val="18"/>
                <w:szCs w:val="18"/>
                <w:highlight w:val="yellow"/>
              </w:rPr>
            </w:pPr>
          </w:p>
        </w:tc>
      </w:tr>
      <w:tr w:rsidR="00602F5D" w:rsidRPr="0053635E" w:rsidTr="007865C4">
        <w:trPr>
          <w:trHeight w:val="180"/>
          <w:jc w:val="center"/>
        </w:trPr>
        <w:tc>
          <w:tcPr>
            <w:tcW w:w="1779" w:type="dxa"/>
            <w:vAlign w:val="bottom"/>
          </w:tcPr>
          <w:p w:rsidR="00602F5D" w:rsidRPr="0053635E" w:rsidRDefault="00602F5D" w:rsidP="00602F5D">
            <w:pPr>
              <w:widowControl/>
              <w:overflowPunct w:val="0"/>
              <w:textAlignment w:val="baseline"/>
              <w:rPr>
                <w:bCs/>
                <w:sz w:val="18"/>
                <w:szCs w:val="18"/>
                <w:highlight w:val="yellow"/>
              </w:rPr>
            </w:pPr>
          </w:p>
        </w:tc>
        <w:tc>
          <w:tcPr>
            <w:tcW w:w="1259" w:type="dxa"/>
            <w:vAlign w:val="bottom"/>
          </w:tcPr>
          <w:p w:rsidR="00602F5D" w:rsidRPr="0053635E" w:rsidRDefault="00602F5D" w:rsidP="00602F5D">
            <w:pPr>
              <w:widowControl/>
              <w:overflowPunct w:val="0"/>
              <w:textAlignment w:val="baseline"/>
              <w:rPr>
                <w:bCs/>
                <w:sz w:val="18"/>
                <w:szCs w:val="18"/>
                <w:highlight w:val="yellow"/>
              </w:rPr>
            </w:pPr>
          </w:p>
        </w:tc>
        <w:tc>
          <w:tcPr>
            <w:tcW w:w="1419" w:type="dxa"/>
            <w:vAlign w:val="bottom"/>
          </w:tcPr>
          <w:p w:rsidR="00602F5D" w:rsidRPr="0053635E" w:rsidRDefault="00602F5D" w:rsidP="00602F5D">
            <w:pPr>
              <w:widowControl/>
              <w:tabs>
                <w:tab w:val="left" w:pos="486"/>
                <w:tab w:val="decimal" w:pos="1297"/>
              </w:tabs>
              <w:overflowPunct w:val="0"/>
              <w:jc w:val="center"/>
              <w:textAlignment w:val="baseline"/>
              <w:rPr>
                <w:bCs/>
                <w:sz w:val="18"/>
                <w:szCs w:val="18"/>
                <w:highlight w:val="yellow"/>
              </w:rPr>
            </w:pPr>
          </w:p>
        </w:tc>
        <w:tc>
          <w:tcPr>
            <w:tcW w:w="1306" w:type="dxa"/>
          </w:tcPr>
          <w:p w:rsidR="00602F5D" w:rsidRPr="0053635E" w:rsidRDefault="00602F5D" w:rsidP="00602F5D">
            <w:pPr>
              <w:widowControl/>
              <w:tabs>
                <w:tab w:val="decimal" w:pos="172"/>
              </w:tabs>
              <w:overflowPunct w:val="0"/>
              <w:jc w:val="center"/>
              <w:textAlignment w:val="baseline"/>
              <w:rPr>
                <w:sz w:val="18"/>
                <w:szCs w:val="18"/>
                <w:highlight w:val="yellow"/>
              </w:rPr>
            </w:pPr>
          </w:p>
        </w:tc>
        <w:tc>
          <w:tcPr>
            <w:tcW w:w="1261" w:type="dxa"/>
            <w:vAlign w:val="bottom"/>
          </w:tcPr>
          <w:p w:rsidR="00602F5D" w:rsidRPr="0053635E" w:rsidRDefault="00602F5D" w:rsidP="00602F5D">
            <w:pPr>
              <w:widowControl/>
              <w:tabs>
                <w:tab w:val="left" w:pos="131"/>
                <w:tab w:val="decimal" w:pos="851"/>
              </w:tabs>
              <w:overflowPunct w:val="0"/>
              <w:jc w:val="center"/>
              <w:textAlignment w:val="baseline"/>
              <w:rPr>
                <w:bCs/>
                <w:sz w:val="18"/>
                <w:szCs w:val="18"/>
                <w:highlight w:val="yellow"/>
              </w:rPr>
            </w:pPr>
          </w:p>
        </w:tc>
        <w:tc>
          <w:tcPr>
            <w:tcW w:w="236" w:type="dxa"/>
          </w:tcPr>
          <w:p w:rsidR="00602F5D" w:rsidRPr="0053635E" w:rsidRDefault="00602F5D" w:rsidP="00602F5D">
            <w:pPr>
              <w:widowControl/>
              <w:tabs>
                <w:tab w:val="decimal" w:pos="172"/>
              </w:tabs>
              <w:overflowPunct w:val="0"/>
              <w:jc w:val="center"/>
              <w:textAlignment w:val="baseline"/>
              <w:rPr>
                <w:sz w:val="18"/>
                <w:szCs w:val="18"/>
                <w:highlight w:val="yellow"/>
              </w:rPr>
            </w:pPr>
          </w:p>
        </w:tc>
        <w:tc>
          <w:tcPr>
            <w:tcW w:w="1202" w:type="dxa"/>
            <w:vAlign w:val="bottom"/>
          </w:tcPr>
          <w:p w:rsidR="00602F5D" w:rsidRPr="0053635E" w:rsidRDefault="00602F5D" w:rsidP="00602F5D">
            <w:pPr>
              <w:widowControl/>
              <w:tabs>
                <w:tab w:val="decimal" w:pos="172"/>
              </w:tabs>
              <w:overflowPunct w:val="0"/>
              <w:jc w:val="center"/>
              <w:textAlignment w:val="baseline"/>
              <w:rPr>
                <w:sz w:val="18"/>
                <w:szCs w:val="18"/>
                <w:highlight w:val="yellow"/>
              </w:rPr>
            </w:pPr>
          </w:p>
        </w:tc>
        <w:tc>
          <w:tcPr>
            <w:tcW w:w="1165" w:type="dxa"/>
            <w:vAlign w:val="bottom"/>
          </w:tcPr>
          <w:p w:rsidR="00602F5D" w:rsidRPr="0053635E" w:rsidRDefault="00602F5D" w:rsidP="00602F5D">
            <w:pPr>
              <w:widowControl/>
              <w:tabs>
                <w:tab w:val="left" w:pos="486"/>
                <w:tab w:val="decimal" w:pos="1297"/>
              </w:tabs>
              <w:overflowPunct w:val="0"/>
              <w:jc w:val="center"/>
              <w:textAlignment w:val="baseline"/>
              <w:rPr>
                <w:bCs/>
                <w:sz w:val="18"/>
                <w:szCs w:val="18"/>
                <w:highlight w:val="yellow"/>
              </w:rPr>
            </w:pPr>
          </w:p>
        </w:tc>
      </w:tr>
    </w:tbl>
    <w:p w:rsidR="00602F5D" w:rsidRPr="0053635E" w:rsidRDefault="00602F5D" w:rsidP="00602F5D">
      <w:pPr>
        <w:rPr>
          <w:vanish/>
          <w:highlight w:val="yellow"/>
        </w:rPr>
      </w:pPr>
    </w:p>
    <w:tbl>
      <w:tblPr>
        <w:tblpPr w:leftFromText="180" w:rightFromText="180" w:vertAnchor="text" w:horzAnchor="margin" w:tblpY="282"/>
        <w:tblW w:w="8479" w:type="dxa"/>
        <w:tblLayout w:type="fixed"/>
        <w:tblCellMar>
          <w:left w:w="0" w:type="dxa"/>
          <w:right w:w="0" w:type="dxa"/>
        </w:tblCellMar>
        <w:tblLook w:val="0000" w:firstRow="0" w:lastRow="0" w:firstColumn="0" w:lastColumn="0" w:noHBand="0" w:noVBand="0"/>
      </w:tblPr>
      <w:tblGrid>
        <w:gridCol w:w="509"/>
        <w:gridCol w:w="7970"/>
      </w:tblGrid>
      <w:tr w:rsidR="00602F5D" w:rsidRPr="00075F90" w:rsidTr="00B157A1">
        <w:trPr>
          <w:trHeight w:val="423"/>
        </w:trPr>
        <w:tc>
          <w:tcPr>
            <w:tcW w:w="509" w:type="dxa"/>
            <w:tcMar>
              <w:top w:w="0" w:type="dxa"/>
              <w:left w:w="108" w:type="dxa"/>
              <w:bottom w:w="0" w:type="dxa"/>
              <w:right w:w="108" w:type="dxa"/>
            </w:tcMar>
          </w:tcPr>
          <w:p w:rsidR="00602F5D" w:rsidRPr="00075F90" w:rsidRDefault="00602F5D" w:rsidP="00602F5D">
            <w:pPr>
              <w:widowControl/>
              <w:autoSpaceDE/>
              <w:autoSpaceDN/>
              <w:adjustRightInd/>
              <w:rPr>
                <w:sz w:val="16"/>
                <w:szCs w:val="16"/>
              </w:rPr>
            </w:pPr>
            <w:r w:rsidRPr="00075F90">
              <w:rPr>
                <w:sz w:val="16"/>
                <w:szCs w:val="16"/>
              </w:rPr>
              <w:t>(a)</w:t>
            </w:r>
          </w:p>
        </w:tc>
        <w:tc>
          <w:tcPr>
            <w:tcW w:w="7970" w:type="dxa"/>
            <w:tcMar>
              <w:top w:w="0" w:type="dxa"/>
              <w:left w:w="108" w:type="dxa"/>
              <w:bottom w:w="0" w:type="dxa"/>
              <w:right w:w="108" w:type="dxa"/>
            </w:tcMar>
          </w:tcPr>
          <w:p w:rsidR="00602F5D" w:rsidRPr="00075F90" w:rsidRDefault="00602F5D" w:rsidP="00602F5D">
            <w:pPr>
              <w:widowControl/>
              <w:autoSpaceDE/>
              <w:autoSpaceDN/>
              <w:adjustRightInd/>
              <w:rPr>
                <w:sz w:val="16"/>
                <w:szCs w:val="16"/>
              </w:rPr>
            </w:pPr>
            <w:r w:rsidRPr="00075F90">
              <w:rPr>
                <w:sz w:val="16"/>
                <w:szCs w:val="16"/>
              </w:rPr>
              <w:t>This represents the change in the fair market value of the Company’s interest rate derivatives, net of tax, offset by the amount of actual cash paid related to the net settlements of the interest rate derivatives, net of tax.</w:t>
            </w:r>
          </w:p>
          <w:p w:rsidR="00602F5D" w:rsidRPr="00075F90" w:rsidRDefault="00602F5D" w:rsidP="00602F5D">
            <w:pPr>
              <w:widowControl/>
              <w:autoSpaceDE/>
              <w:autoSpaceDN/>
              <w:adjustRightInd/>
              <w:rPr>
                <w:sz w:val="16"/>
                <w:szCs w:val="16"/>
              </w:rPr>
            </w:pPr>
          </w:p>
        </w:tc>
      </w:tr>
      <w:tr w:rsidR="00B157A1" w:rsidRPr="00075F90" w:rsidTr="00B157A1">
        <w:trPr>
          <w:trHeight w:val="332"/>
        </w:trPr>
        <w:tc>
          <w:tcPr>
            <w:tcW w:w="509" w:type="dxa"/>
            <w:tcMar>
              <w:top w:w="0" w:type="dxa"/>
              <w:left w:w="108" w:type="dxa"/>
              <w:bottom w:w="0" w:type="dxa"/>
              <w:right w:w="108" w:type="dxa"/>
            </w:tcMar>
          </w:tcPr>
          <w:p w:rsidR="00B157A1" w:rsidRPr="00075F90" w:rsidRDefault="00B157A1" w:rsidP="00602F5D">
            <w:pPr>
              <w:widowControl/>
              <w:autoSpaceDE/>
              <w:autoSpaceDN/>
              <w:adjustRightInd/>
              <w:rPr>
                <w:sz w:val="16"/>
                <w:szCs w:val="16"/>
              </w:rPr>
            </w:pPr>
            <w:r>
              <w:rPr>
                <w:sz w:val="16"/>
                <w:szCs w:val="16"/>
              </w:rPr>
              <w:t>(b)</w:t>
            </w:r>
            <w:r w:rsidR="00D55CF1">
              <w:rPr>
                <w:sz w:val="16"/>
                <w:szCs w:val="16"/>
              </w:rPr>
              <w:t xml:space="preserve"> </w:t>
            </w:r>
          </w:p>
        </w:tc>
        <w:tc>
          <w:tcPr>
            <w:tcW w:w="7970" w:type="dxa"/>
            <w:tcMar>
              <w:top w:w="0" w:type="dxa"/>
              <w:left w:w="108" w:type="dxa"/>
              <w:bottom w:w="0" w:type="dxa"/>
              <w:right w:w="108" w:type="dxa"/>
            </w:tcMar>
          </w:tcPr>
          <w:p w:rsidR="00B157A1" w:rsidRPr="00075F90" w:rsidRDefault="00B157A1" w:rsidP="00602F5D">
            <w:pPr>
              <w:widowControl/>
              <w:autoSpaceDE/>
              <w:autoSpaceDN/>
              <w:adjustRightInd/>
              <w:rPr>
                <w:sz w:val="16"/>
                <w:szCs w:val="16"/>
              </w:rPr>
            </w:pPr>
            <w:r>
              <w:rPr>
                <w:sz w:val="16"/>
                <w:szCs w:val="16"/>
              </w:rPr>
              <w:t>This represents the amount of actual cash paid,  net of tax, related to the net settlements of the interest rate derivatives plus any effective amortization of deferred losses on the Company’s terminated derivative, net of tax.</w:t>
            </w:r>
          </w:p>
        </w:tc>
      </w:tr>
    </w:tbl>
    <w:p w:rsidR="00602F5D" w:rsidRPr="00075F90" w:rsidRDefault="00602F5D" w:rsidP="00602F5D">
      <w:pPr>
        <w:widowControl/>
        <w:overflowPunct w:val="0"/>
        <w:spacing w:after="280"/>
        <w:jc w:val="both"/>
        <w:textAlignment w:val="baseline"/>
        <w:rPr>
          <w:b/>
          <w:sz w:val="24"/>
          <w:szCs w:val="20"/>
        </w:rPr>
      </w:pPr>
    </w:p>
    <w:p w:rsidR="00602F5D" w:rsidRPr="00075F90" w:rsidRDefault="00602F5D" w:rsidP="00602F5D">
      <w:pPr>
        <w:widowControl/>
        <w:overflowPunct w:val="0"/>
        <w:spacing w:after="280"/>
        <w:jc w:val="both"/>
        <w:textAlignment w:val="baseline"/>
        <w:rPr>
          <w:sz w:val="24"/>
          <w:szCs w:val="20"/>
        </w:rPr>
      </w:pPr>
    </w:p>
    <w:tbl>
      <w:tblPr>
        <w:tblpPr w:leftFromText="180" w:rightFromText="180" w:vertAnchor="text" w:horzAnchor="margin" w:tblpXSpec="center" w:tblpY="316"/>
        <w:tblW w:w="8128" w:type="dxa"/>
        <w:tblLayout w:type="fixed"/>
        <w:tblCellMar>
          <w:left w:w="29" w:type="dxa"/>
          <w:right w:w="29" w:type="dxa"/>
        </w:tblCellMar>
        <w:tblLook w:val="01E0" w:firstRow="1" w:lastRow="1" w:firstColumn="1" w:lastColumn="1" w:noHBand="0" w:noVBand="0"/>
      </w:tblPr>
      <w:tblGrid>
        <w:gridCol w:w="5789"/>
        <w:gridCol w:w="1146"/>
        <w:gridCol w:w="1193"/>
      </w:tblGrid>
      <w:tr w:rsidR="00D55CF1" w:rsidRPr="00075F90" w:rsidTr="00B157A1">
        <w:tc>
          <w:tcPr>
            <w:tcW w:w="5789" w:type="dxa"/>
          </w:tcPr>
          <w:p w:rsidR="00D55CF1" w:rsidRPr="00075F90" w:rsidRDefault="00D55CF1" w:rsidP="00B157A1">
            <w:pPr>
              <w:widowControl/>
              <w:overflowPunct w:val="0"/>
              <w:textAlignment w:val="baseline"/>
              <w:rPr>
                <w:sz w:val="16"/>
                <w:szCs w:val="16"/>
              </w:rPr>
            </w:pPr>
          </w:p>
        </w:tc>
        <w:tc>
          <w:tcPr>
            <w:tcW w:w="2339" w:type="dxa"/>
            <w:gridSpan w:val="2"/>
            <w:vAlign w:val="bottom"/>
          </w:tcPr>
          <w:p w:rsidR="00D55CF1" w:rsidRDefault="00D55CF1" w:rsidP="00B157A1">
            <w:pPr>
              <w:widowControl/>
              <w:tabs>
                <w:tab w:val="left" w:pos="115"/>
                <w:tab w:val="decimal" w:pos="939"/>
              </w:tabs>
              <w:overflowPunct w:val="0"/>
              <w:jc w:val="center"/>
              <w:textAlignment w:val="baseline"/>
              <w:rPr>
                <w:b/>
                <w:sz w:val="16"/>
                <w:szCs w:val="16"/>
              </w:rPr>
            </w:pPr>
            <w:r>
              <w:rPr>
                <w:b/>
                <w:sz w:val="16"/>
                <w:szCs w:val="16"/>
              </w:rPr>
              <w:t>Three Months ended</w:t>
            </w:r>
          </w:p>
        </w:tc>
      </w:tr>
      <w:tr w:rsidR="00B157A1" w:rsidRPr="00075F90" w:rsidTr="00B157A1">
        <w:tc>
          <w:tcPr>
            <w:tcW w:w="5789" w:type="dxa"/>
          </w:tcPr>
          <w:p w:rsidR="00B157A1" w:rsidRPr="00075F90" w:rsidRDefault="00B157A1" w:rsidP="00B157A1">
            <w:pPr>
              <w:widowControl/>
              <w:overflowPunct w:val="0"/>
              <w:textAlignment w:val="baseline"/>
              <w:rPr>
                <w:sz w:val="16"/>
                <w:szCs w:val="16"/>
              </w:rPr>
            </w:pPr>
          </w:p>
        </w:tc>
        <w:tc>
          <w:tcPr>
            <w:tcW w:w="2339" w:type="dxa"/>
            <w:gridSpan w:val="2"/>
            <w:vAlign w:val="bottom"/>
          </w:tcPr>
          <w:p w:rsidR="00B157A1" w:rsidRPr="00075F90" w:rsidRDefault="00B157A1" w:rsidP="00B157A1">
            <w:pPr>
              <w:widowControl/>
              <w:tabs>
                <w:tab w:val="left" w:pos="115"/>
                <w:tab w:val="decimal" w:pos="939"/>
              </w:tabs>
              <w:overflowPunct w:val="0"/>
              <w:jc w:val="center"/>
              <w:textAlignment w:val="baseline"/>
              <w:rPr>
                <w:b/>
                <w:sz w:val="16"/>
                <w:szCs w:val="16"/>
              </w:rPr>
            </w:pPr>
            <w:r>
              <w:rPr>
                <w:b/>
                <w:sz w:val="16"/>
                <w:szCs w:val="16"/>
              </w:rPr>
              <w:t>March 31,</w:t>
            </w:r>
          </w:p>
        </w:tc>
      </w:tr>
      <w:tr w:rsidR="00B157A1" w:rsidRPr="0053635E" w:rsidTr="00B157A1">
        <w:tc>
          <w:tcPr>
            <w:tcW w:w="5789" w:type="dxa"/>
          </w:tcPr>
          <w:p w:rsidR="00B157A1" w:rsidRPr="00075F90" w:rsidRDefault="00B157A1" w:rsidP="00B157A1">
            <w:pPr>
              <w:widowControl/>
              <w:overflowPunct w:val="0"/>
              <w:textAlignment w:val="baseline"/>
              <w:rPr>
                <w:sz w:val="16"/>
                <w:szCs w:val="16"/>
              </w:rPr>
            </w:pPr>
          </w:p>
        </w:tc>
        <w:tc>
          <w:tcPr>
            <w:tcW w:w="1146" w:type="dxa"/>
            <w:tcBorders>
              <w:top w:val="single" w:sz="6" w:space="0" w:color="auto"/>
              <w:bottom w:val="single" w:sz="4" w:space="0" w:color="auto"/>
            </w:tcBorders>
            <w:vAlign w:val="bottom"/>
          </w:tcPr>
          <w:p w:rsidR="00B157A1" w:rsidRPr="00075F90" w:rsidRDefault="00B157A1" w:rsidP="00B157A1">
            <w:pPr>
              <w:widowControl/>
              <w:tabs>
                <w:tab w:val="left" w:pos="115"/>
                <w:tab w:val="decimal" w:pos="1043"/>
              </w:tabs>
              <w:overflowPunct w:val="0"/>
              <w:textAlignment w:val="baseline"/>
              <w:rPr>
                <w:bCs/>
                <w:sz w:val="16"/>
                <w:szCs w:val="16"/>
              </w:rPr>
            </w:pPr>
            <w:r w:rsidRPr="00075F90">
              <w:rPr>
                <w:b/>
                <w:sz w:val="16"/>
                <w:szCs w:val="16"/>
              </w:rPr>
              <w:t xml:space="preserve">            201</w:t>
            </w:r>
            <w:r>
              <w:rPr>
                <w:b/>
                <w:sz w:val="16"/>
                <w:szCs w:val="16"/>
              </w:rPr>
              <w:t>4</w:t>
            </w:r>
          </w:p>
        </w:tc>
        <w:tc>
          <w:tcPr>
            <w:tcW w:w="1193" w:type="dxa"/>
            <w:tcBorders>
              <w:top w:val="single" w:sz="6" w:space="0" w:color="auto"/>
              <w:bottom w:val="single" w:sz="4" w:space="0" w:color="auto"/>
            </w:tcBorders>
            <w:vAlign w:val="bottom"/>
          </w:tcPr>
          <w:p w:rsidR="00B157A1" w:rsidRPr="00075F90" w:rsidRDefault="00B157A1" w:rsidP="00B157A1">
            <w:pPr>
              <w:widowControl/>
              <w:tabs>
                <w:tab w:val="left" w:pos="115"/>
                <w:tab w:val="decimal" w:pos="939"/>
              </w:tabs>
              <w:overflowPunct w:val="0"/>
              <w:textAlignment w:val="baseline"/>
              <w:rPr>
                <w:bCs/>
                <w:sz w:val="16"/>
                <w:szCs w:val="16"/>
              </w:rPr>
            </w:pPr>
            <w:r w:rsidRPr="00075F90">
              <w:rPr>
                <w:b/>
                <w:sz w:val="16"/>
                <w:szCs w:val="16"/>
              </w:rPr>
              <w:t xml:space="preserve">           201</w:t>
            </w:r>
            <w:r>
              <w:rPr>
                <w:b/>
                <w:sz w:val="16"/>
                <w:szCs w:val="16"/>
              </w:rPr>
              <w:t>3</w:t>
            </w:r>
          </w:p>
        </w:tc>
      </w:tr>
      <w:tr w:rsidR="00B157A1" w:rsidRPr="0053635E" w:rsidTr="00B157A1">
        <w:tc>
          <w:tcPr>
            <w:tcW w:w="5789" w:type="dxa"/>
          </w:tcPr>
          <w:p w:rsidR="00B157A1" w:rsidRPr="0053635E" w:rsidRDefault="00B157A1" w:rsidP="00B157A1">
            <w:pPr>
              <w:widowControl/>
              <w:overflowPunct w:val="0"/>
              <w:jc w:val="both"/>
              <w:textAlignment w:val="baseline"/>
              <w:rPr>
                <w:sz w:val="16"/>
                <w:szCs w:val="16"/>
                <w:highlight w:val="yellow"/>
              </w:rPr>
            </w:pPr>
          </w:p>
        </w:tc>
        <w:tc>
          <w:tcPr>
            <w:tcW w:w="1146" w:type="dxa"/>
            <w:tcBorders>
              <w:top w:val="single" w:sz="4" w:space="0" w:color="auto"/>
            </w:tcBorders>
          </w:tcPr>
          <w:p w:rsidR="00B157A1" w:rsidRPr="0053635E" w:rsidRDefault="00B157A1" w:rsidP="00B157A1">
            <w:pPr>
              <w:widowControl/>
              <w:tabs>
                <w:tab w:val="left" w:pos="115"/>
                <w:tab w:val="decimal" w:pos="1043"/>
              </w:tabs>
              <w:overflowPunct w:val="0"/>
              <w:textAlignment w:val="baseline"/>
              <w:rPr>
                <w:bCs/>
                <w:sz w:val="16"/>
                <w:szCs w:val="16"/>
                <w:highlight w:val="yellow"/>
              </w:rPr>
            </w:pPr>
          </w:p>
        </w:tc>
        <w:tc>
          <w:tcPr>
            <w:tcW w:w="1193" w:type="dxa"/>
            <w:tcBorders>
              <w:top w:val="single" w:sz="4" w:space="0" w:color="auto"/>
            </w:tcBorders>
          </w:tcPr>
          <w:p w:rsidR="00B157A1" w:rsidRPr="0053635E" w:rsidRDefault="00B157A1" w:rsidP="00B157A1">
            <w:pPr>
              <w:widowControl/>
              <w:tabs>
                <w:tab w:val="left" w:pos="115"/>
                <w:tab w:val="decimal" w:pos="939"/>
              </w:tabs>
              <w:overflowPunct w:val="0"/>
              <w:textAlignment w:val="baseline"/>
              <w:rPr>
                <w:bCs/>
                <w:sz w:val="16"/>
                <w:szCs w:val="16"/>
                <w:highlight w:val="yellow"/>
              </w:rPr>
            </w:pPr>
          </w:p>
        </w:tc>
      </w:tr>
      <w:tr w:rsidR="00B157A1" w:rsidRPr="0053635E" w:rsidTr="00B157A1">
        <w:trPr>
          <w:trHeight w:val="216"/>
        </w:trPr>
        <w:tc>
          <w:tcPr>
            <w:tcW w:w="5789" w:type="dxa"/>
          </w:tcPr>
          <w:p w:rsidR="00B157A1" w:rsidRPr="005267D0" w:rsidRDefault="00B157A1" w:rsidP="00B157A1">
            <w:pPr>
              <w:widowControl/>
              <w:overflowPunct w:val="0"/>
              <w:ind w:left="374" w:hanging="187"/>
              <w:textAlignment w:val="baseline"/>
              <w:rPr>
                <w:sz w:val="16"/>
                <w:szCs w:val="16"/>
              </w:rPr>
            </w:pPr>
            <w:r w:rsidRPr="005267D0">
              <w:rPr>
                <w:sz w:val="16"/>
                <w:szCs w:val="16"/>
              </w:rPr>
              <w:t xml:space="preserve">Net settlements of interest rate derivative, net of tax of ($177) </w:t>
            </w:r>
            <w:r w:rsidR="003A0D96">
              <w:rPr>
                <w:sz w:val="16"/>
                <w:szCs w:val="16"/>
              </w:rPr>
              <w:t xml:space="preserve">                                 </w:t>
            </w:r>
            <w:r w:rsidRPr="005267D0">
              <w:rPr>
                <w:sz w:val="16"/>
                <w:szCs w:val="16"/>
              </w:rPr>
              <w:t xml:space="preserve">and ($101), respectively </w:t>
            </w:r>
          </w:p>
        </w:tc>
        <w:tc>
          <w:tcPr>
            <w:tcW w:w="1146" w:type="dxa"/>
          </w:tcPr>
          <w:p w:rsidR="00B157A1" w:rsidRPr="005267D0" w:rsidRDefault="00B157A1" w:rsidP="00B157A1">
            <w:pPr>
              <w:widowControl/>
              <w:tabs>
                <w:tab w:val="left" w:pos="0"/>
                <w:tab w:val="decimal" w:pos="1057"/>
              </w:tabs>
              <w:overflowPunct w:val="0"/>
              <w:textAlignment w:val="baseline"/>
              <w:rPr>
                <w:bCs/>
                <w:sz w:val="16"/>
                <w:szCs w:val="16"/>
              </w:rPr>
            </w:pPr>
            <w:r w:rsidRPr="005267D0">
              <w:rPr>
                <w:bCs/>
                <w:sz w:val="16"/>
                <w:szCs w:val="16"/>
              </w:rPr>
              <w:tab/>
              <w:t xml:space="preserve">                             $      </w:t>
            </w:r>
            <w:r>
              <w:rPr>
                <w:bCs/>
                <w:sz w:val="16"/>
                <w:szCs w:val="16"/>
              </w:rPr>
              <w:t xml:space="preserve"> </w:t>
            </w:r>
            <w:r w:rsidRPr="005267D0">
              <w:rPr>
                <w:bCs/>
                <w:sz w:val="16"/>
                <w:szCs w:val="16"/>
              </w:rPr>
              <w:t xml:space="preserve"> </w:t>
            </w:r>
            <w:r>
              <w:rPr>
                <w:bCs/>
                <w:sz w:val="16"/>
                <w:szCs w:val="16"/>
              </w:rPr>
              <w:t xml:space="preserve">      </w:t>
            </w:r>
            <w:r w:rsidRPr="005267D0">
              <w:rPr>
                <w:bCs/>
                <w:sz w:val="16"/>
                <w:szCs w:val="16"/>
              </w:rPr>
              <w:t xml:space="preserve">     273</w:t>
            </w:r>
          </w:p>
        </w:tc>
        <w:tc>
          <w:tcPr>
            <w:tcW w:w="1193" w:type="dxa"/>
          </w:tcPr>
          <w:p w:rsidR="00B157A1" w:rsidRPr="00844D8C" w:rsidRDefault="00B157A1" w:rsidP="00B157A1">
            <w:pPr>
              <w:widowControl/>
              <w:tabs>
                <w:tab w:val="left" w:pos="115"/>
                <w:tab w:val="decimal" w:pos="1057"/>
              </w:tabs>
              <w:overflowPunct w:val="0"/>
              <w:textAlignment w:val="baseline"/>
              <w:rPr>
                <w:bCs/>
                <w:sz w:val="16"/>
                <w:szCs w:val="16"/>
              </w:rPr>
            </w:pPr>
            <w:r w:rsidRPr="00844D8C">
              <w:rPr>
                <w:bCs/>
                <w:sz w:val="16"/>
                <w:szCs w:val="16"/>
              </w:rPr>
              <w:t xml:space="preserve">                           </w:t>
            </w:r>
            <w:r w:rsidRPr="00844D8C">
              <w:rPr>
                <w:bCs/>
                <w:sz w:val="16"/>
                <w:szCs w:val="16"/>
              </w:rPr>
              <w:tab/>
              <w:t xml:space="preserve">$            </w:t>
            </w:r>
            <w:r>
              <w:rPr>
                <w:bCs/>
                <w:sz w:val="16"/>
                <w:szCs w:val="16"/>
              </w:rPr>
              <w:t xml:space="preserve">     156</w:t>
            </w:r>
          </w:p>
        </w:tc>
      </w:tr>
      <w:tr w:rsidR="00B157A1" w:rsidRPr="0053635E" w:rsidTr="00B157A1">
        <w:trPr>
          <w:trHeight w:val="297"/>
        </w:trPr>
        <w:tc>
          <w:tcPr>
            <w:tcW w:w="5789" w:type="dxa"/>
          </w:tcPr>
          <w:p w:rsidR="00B157A1" w:rsidRPr="005267D0" w:rsidRDefault="00B157A1" w:rsidP="00B157A1">
            <w:pPr>
              <w:widowControl/>
              <w:overflowPunct w:val="0"/>
              <w:ind w:left="374" w:hanging="187"/>
              <w:textAlignment w:val="baseline"/>
              <w:rPr>
                <w:sz w:val="16"/>
                <w:szCs w:val="16"/>
              </w:rPr>
            </w:pPr>
            <w:r w:rsidRPr="005267D0">
              <w:rPr>
                <w:sz w:val="16"/>
                <w:szCs w:val="16"/>
              </w:rPr>
              <w:t xml:space="preserve">Amortization of terminated derivatives, net of tax of ($1,814) </w:t>
            </w:r>
            <w:r w:rsidR="003A0D96">
              <w:rPr>
                <w:sz w:val="16"/>
                <w:szCs w:val="16"/>
              </w:rPr>
              <w:t xml:space="preserve">                                  </w:t>
            </w:r>
            <w:r w:rsidRPr="005267D0">
              <w:rPr>
                <w:sz w:val="16"/>
                <w:szCs w:val="16"/>
              </w:rPr>
              <w:t>and ($2,049), respectively</w:t>
            </w:r>
          </w:p>
        </w:tc>
        <w:tc>
          <w:tcPr>
            <w:tcW w:w="1146" w:type="dxa"/>
            <w:tcBorders>
              <w:bottom w:val="single" w:sz="4" w:space="0" w:color="auto"/>
            </w:tcBorders>
          </w:tcPr>
          <w:p w:rsidR="00B157A1" w:rsidRPr="005267D0" w:rsidRDefault="00B157A1" w:rsidP="00B157A1">
            <w:pPr>
              <w:widowControl/>
              <w:tabs>
                <w:tab w:val="left" w:pos="115"/>
                <w:tab w:val="decimal" w:pos="1057"/>
              </w:tabs>
              <w:overflowPunct w:val="0"/>
              <w:textAlignment w:val="baseline"/>
              <w:rPr>
                <w:bCs/>
                <w:sz w:val="16"/>
                <w:szCs w:val="16"/>
              </w:rPr>
            </w:pPr>
            <w:r w:rsidRPr="005267D0">
              <w:rPr>
                <w:bCs/>
                <w:sz w:val="16"/>
                <w:szCs w:val="16"/>
              </w:rPr>
              <w:tab/>
            </w:r>
            <w:r w:rsidRPr="005267D0">
              <w:rPr>
                <w:bCs/>
                <w:sz w:val="16"/>
                <w:szCs w:val="16"/>
              </w:rPr>
              <w:tab/>
            </w:r>
          </w:p>
          <w:p w:rsidR="00B157A1" w:rsidRPr="005267D0" w:rsidRDefault="00B157A1" w:rsidP="00B157A1">
            <w:pPr>
              <w:widowControl/>
              <w:tabs>
                <w:tab w:val="left" w:pos="115"/>
                <w:tab w:val="decimal" w:pos="1057"/>
              </w:tabs>
              <w:overflowPunct w:val="0"/>
              <w:textAlignment w:val="baseline"/>
              <w:rPr>
                <w:bCs/>
                <w:sz w:val="16"/>
                <w:szCs w:val="16"/>
              </w:rPr>
            </w:pPr>
            <w:r w:rsidRPr="005267D0">
              <w:rPr>
                <w:bCs/>
                <w:sz w:val="16"/>
                <w:szCs w:val="16"/>
              </w:rPr>
              <w:t xml:space="preserve">                  2,792</w:t>
            </w:r>
          </w:p>
        </w:tc>
        <w:tc>
          <w:tcPr>
            <w:tcW w:w="1193" w:type="dxa"/>
            <w:tcBorders>
              <w:bottom w:val="single" w:sz="4" w:space="0" w:color="auto"/>
            </w:tcBorders>
          </w:tcPr>
          <w:p w:rsidR="00B157A1" w:rsidRPr="005267D0" w:rsidRDefault="00B157A1" w:rsidP="00B157A1">
            <w:pPr>
              <w:widowControl/>
              <w:tabs>
                <w:tab w:val="left" w:pos="115"/>
                <w:tab w:val="decimal" w:pos="1057"/>
              </w:tabs>
              <w:overflowPunct w:val="0"/>
              <w:textAlignment w:val="baseline"/>
              <w:rPr>
                <w:bCs/>
                <w:sz w:val="16"/>
                <w:szCs w:val="16"/>
              </w:rPr>
            </w:pPr>
            <w:r w:rsidRPr="005267D0">
              <w:rPr>
                <w:bCs/>
                <w:sz w:val="16"/>
                <w:szCs w:val="16"/>
              </w:rPr>
              <w:tab/>
            </w:r>
            <w:r w:rsidRPr="005267D0">
              <w:rPr>
                <w:bCs/>
                <w:sz w:val="16"/>
                <w:szCs w:val="16"/>
              </w:rPr>
              <w:tab/>
              <w:t xml:space="preserve">           </w:t>
            </w:r>
          </w:p>
          <w:p w:rsidR="00B157A1" w:rsidRPr="005267D0" w:rsidRDefault="00B157A1" w:rsidP="00B157A1">
            <w:pPr>
              <w:widowControl/>
              <w:tabs>
                <w:tab w:val="left" w:pos="115"/>
                <w:tab w:val="decimal" w:pos="1057"/>
              </w:tabs>
              <w:overflowPunct w:val="0"/>
              <w:textAlignment w:val="baseline"/>
              <w:rPr>
                <w:bCs/>
                <w:sz w:val="16"/>
                <w:szCs w:val="16"/>
              </w:rPr>
            </w:pPr>
            <w:r w:rsidRPr="005267D0">
              <w:rPr>
                <w:bCs/>
                <w:sz w:val="16"/>
                <w:szCs w:val="16"/>
              </w:rPr>
              <w:t xml:space="preserve">                   3,168</w:t>
            </w:r>
          </w:p>
        </w:tc>
      </w:tr>
      <w:tr w:rsidR="00B157A1" w:rsidRPr="0053635E" w:rsidTr="00B157A1">
        <w:trPr>
          <w:trHeight w:val="197"/>
        </w:trPr>
        <w:tc>
          <w:tcPr>
            <w:tcW w:w="5789" w:type="dxa"/>
          </w:tcPr>
          <w:p w:rsidR="00B157A1" w:rsidRPr="005267D0" w:rsidRDefault="00B157A1" w:rsidP="00B157A1">
            <w:pPr>
              <w:widowControl/>
              <w:overflowPunct w:val="0"/>
              <w:jc w:val="both"/>
              <w:textAlignment w:val="baseline"/>
              <w:rPr>
                <w:sz w:val="16"/>
                <w:szCs w:val="16"/>
              </w:rPr>
            </w:pPr>
          </w:p>
        </w:tc>
        <w:tc>
          <w:tcPr>
            <w:tcW w:w="1146" w:type="dxa"/>
            <w:tcBorders>
              <w:top w:val="single" w:sz="4" w:space="0" w:color="auto"/>
              <w:bottom w:val="double" w:sz="6" w:space="0" w:color="auto"/>
            </w:tcBorders>
            <w:vAlign w:val="bottom"/>
          </w:tcPr>
          <w:p w:rsidR="00B157A1" w:rsidRPr="005267D0" w:rsidRDefault="00B157A1" w:rsidP="00B157A1">
            <w:pPr>
              <w:widowControl/>
              <w:tabs>
                <w:tab w:val="left" w:pos="115"/>
                <w:tab w:val="decimal" w:pos="1057"/>
              </w:tabs>
              <w:overflowPunct w:val="0"/>
              <w:textAlignment w:val="baseline"/>
              <w:rPr>
                <w:bCs/>
                <w:sz w:val="16"/>
                <w:szCs w:val="16"/>
              </w:rPr>
            </w:pPr>
            <w:r w:rsidRPr="005267D0">
              <w:rPr>
                <w:bCs/>
                <w:sz w:val="16"/>
                <w:szCs w:val="16"/>
              </w:rPr>
              <w:t xml:space="preserve">$  </w:t>
            </w:r>
            <w:r>
              <w:rPr>
                <w:bCs/>
                <w:sz w:val="16"/>
                <w:szCs w:val="16"/>
              </w:rPr>
              <w:t xml:space="preserve">      </w:t>
            </w:r>
            <w:r w:rsidRPr="005267D0">
              <w:rPr>
                <w:bCs/>
                <w:sz w:val="16"/>
                <w:szCs w:val="16"/>
              </w:rPr>
              <w:t xml:space="preserve">        3,065</w:t>
            </w:r>
          </w:p>
        </w:tc>
        <w:tc>
          <w:tcPr>
            <w:tcW w:w="1193" w:type="dxa"/>
            <w:tcBorders>
              <w:top w:val="single" w:sz="4" w:space="0" w:color="auto"/>
              <w:bottom w:val="double" w:sz="6" w:space="0" w:color="auto"/>
            </w:tcBorders>
            <w:vAlign w:val="bottom"/>
          </w:tcPr>
          <w:p w:rsidR="00B157A1" w:rsidRPr="005267D0" w:rsidRDefault="00B157A1" w:rsidP="00B157A1">
            <w:pPr>
              <w:widowControl/>
              <w:tabs>
                <w:tab w:val="left" w:pos="115"/>
                <w:tab w:val="decimal" w:pos="1057"/>
              </w:tabs>
              <w:overflowPunct w:val="0"/>
              <w:textAlignment w:val="baseline"/>
              <w:rPr>
                <w:bCs/>
                <w:sz w:val="16"/>
                <w:szCs w:val="16"/>
              </w:rPr>
            </w:pPr>
            <w:r w:rsidRPr="005267D0">
              <w:rPr>
                <w:bCs/>
                <w:sz w:val="16"/>
                <w:szCs w:val="16"/>
              </w:rPr>
              <w:tab/>
              <w:t>$              3,324</w:t>
            </w:r>
          </w:p>
        </w:tc>
      </w:tr>
      <w:tr w:rsidR="00B157A1" w:rsidRPr="0053635E" w:rsidTr="00B157A1">
        <w:tc>
          <w:tcPr>
            <w:tcW w:w="5789" w:type="dxa"/>
          </w:tcPr>
          <w:p w:rsidR="00B157A1" w:rsidRDefault="00B157A1" w:rsidP="00B157A1">
            <w:pPr>
              <w:widowControl/>
              <w:numPr>
                <w:ilvl w:val="0"/>
                <w:numId w:val="3"/>
              </w:numPr>
              <w:overflowPunct w:val="0"/>
              <w:ind w:left="-360" w:firstLine="0"/>
              <w:jc w:val="both"/>
              <w:textAlignment w:val="baseline"/>
              <w:rPr>
                <w:sz w:val="16"/>
                <w:szCs w:val="16"/>
              </w:rPr>
            </w:pPr>
          </w:p>
        </w:tc>
        <w:tc>
          <w:tcPr>
            <w:tcW w:w="1146" w:type="dxa"/>
            <w:tcBorders>
              <w:top w:val="double" w:sz="6" w:space="0" w:color="auto"/>
            </w:tcBorders>
          </w:tcPr>
          <w:p w:rsidR="00B157A1" w:rsidRPr="005267D0" w:rsidRDefault="00B157A1" w:rsidP="00B157A1">
            <w:pPr>
              <w:widowControl/>
              <w:tabs>
                <w:tab w:val="left" w:pos="0"/>
                <w:tab w:val="decimal" w:pos="1057"/>
              </w:tabs>
              <w:overflowPunct w:val="0"/>
              <w:textAlignment w:val="baseline"/>
              <w:rPr>
                <w:bCs/>
                <w:sz w:val="16"/>
                <w:szCs w:val="16"/>
              </w:rPr>
            </w:pPr>
            <w:r w:rsidRPr="005267D0">
              <w:rPr>
                <w:bCs/>
                <w:sz w:val="16"/>
                <w:szCs w:val="16"/>
              </w:rPr>
              <w:tab/>
              <w:t xml:space="preserve">                                </w:t>
            </w:r>
            <w:r>
              <w:rPr>
                <w:bCs/>
                <w:sz w:val="16"/>
                <w:szCs w:val="16"/>
              </w:rPr>
              <w:t xml:space="preserve"> </w:t>
            </w:r>
            <w:r w:rsidRPr="005267D0">
              <w:rPr>
                <w:bCs/>
                <w:sz w:val="16"/>
                <w:szCs w:val="16"/>
              </w:rPr>
              <w:t xml:space="preserve"> </w:t>
            </w:r>
            <w:r>
              <w:rPr>
                <w:bCs/>
                <w:sz w:val="16"/>
                <w:szCs w:val="16"/>
              </w:rPr>
              <w:t xml:space="preserve">      </w:t>
            </w:r>
            <w:r w:rsidRPr="005267D0">
              <w:rPr>
                <w:bCs/>
                <w:sz w:val="16"/>
                <w:szCs w:val="16"/>
              </w:rPr>
              <w:t xml:space="preserve">     </w:t>
            </w:r>
          </w:p>
        </w:tc>
        <w:tc>
          <w:tcPr>
            <w:tcW w:w="1193" w:type="dxa"/>
            <w:tcBorders>
              <w:top w:val="double" w:sz="6" w:space="0" w:color="auto"/>
            </w:tcBorders>
          </w:tcPr>
          <w:p w:rsidR="00B157A1" w:rsidRPr="00844D8C" w:rsidRDefault="00B157A1" w:rsidP="00B157A1">
            <w:pPr>
              <w:widowControl/>
              <w:tabs>
                <w:tab w:val="left" w:pos="115"/>
                <w:tab w:val="decimal" w:pos="1057"/>
              </w:tabs>
              <w:overflowPunct w:val="0"/>
              <w:textAlignment w:val="baseline"/>
              <w:rPr>
                <w:bCs/>
                <w:sz w:val="16"/>
                <w:szCs w:val="16"/>
              </w:rPr>
            </w:pPr>
          </w:p>
        </w:tc>
      </w:tr>
    </w:tbl>
    <w:p w:rsidR="00602F5D" w:rsidRDefault="00602F5D" w:rsidP="00602F5D">
      <w:pPr>
        <w:widowControl/>
        <w:autoSpaceDE/>
        <w:autoSpaceDN/>
        <w:adjustRightInd/>
        <w:jc w:val="both"/>
        <w:rPr>
          <w:sz w:val="24"/>
          <w:szCs w:val="24"/>
          <w:highlight w:val="yellow"/>
        </w:rPr>
      </w:pPr>
    </w:p>
    <w:p w:rsidR="00B157A1" w:rsidRDefault="00B157A1" w:rsidP="00602F5D">
      <w:pPr>
        <w:widowControl/>
        <w:autoSpaceDE/>
        <w:autoSpaceDN/>
        <w:adjustRightInd/>
        <w:jc w:val="both"/>
        <w:rPr>
          <w:sz w:val="24"/>
          <w:szCs w:val="24"/>
          <w:highlight w:val="yellow"/>
        </w:rPr>
      </w:pPr>
    </w:p>
    <w:p w:rsidR="00B157A1" w:rsidRDefault="00B157A1" w:rsidP="00602F5D">
      <w:pPr>
        <w:widowControl/>
        <w:autoSpaceDE/>
        <w:autoSpaceDN/>
        <w:adjustRightInd/>
        <w:jc w:val="both"/>
        <w:rPr>
          <w:sz w:val="24"/>
          <w:szCs w:val="24"/>
          <w:highlight w:val="yellow"/>
        </w:rPr>
      </w:pPr>
    </w:p>
    <w:p w:rsidR="00B157A1" w:rsidRDefault="00B157A1" w:rsidP="00602F5D">
      <w:pPr>
        <w:widowControl/>
        <w:autoSpaceDE/>
        <w:autoSpaceDN/>
        <w:adjustRightInd/>
        <w:jc w:val="both"/>
        <w:rPr>
          <w:sz w:val="24"/>
          <w:szCs w:val="24"/>
          <w:highlight w:val="yellow"/>
        </w:rPr>
      </w:pPr>
    </w:p>
    <w:p w:rsidR="00B157A1" w:rsidRDefault="00B157A1" w:rsidP="00602F5D">
      <w:pPr>
        <w:widowControl/>
        <w:autoSpaceDE/>
        <w:autoSpaceDN/>
        <w:adjustRightInd/>
        <w:jc w:val="both"/>
        <w:rPr>
          <w:sz w:val="24"/>
          <w:szCs w:val="24"/>
          <w:highlight w:val="yellow"/>
        </w:rPr>
      </w:pPr>
    </w:p>
    <w:p w:rsidR="00B157A1" w:rsidRDefault="00B157A1" w:rsidP="00602F5D">
      <w:pPr>
        <w:widowControl/>
        <w:autoSpaceDE/>
        <w:autoSpaceDN/>
        <w:adjustRightInd/>
        <w:jc w:val="both"/>
        <w:rPr>
          <w:sz w:val="24"/>
          <w:szCs w:val="24"/>
          <w:highlight w:val="yellow"/>
        </w:rPr>
      </w:pPr>
    </w:p>
    <w:p w:rsidR="00B157A1" w:rsidRDefault="00B157A1" w:rsidP="00602F5D">
      <w:pPr>
        <w:widowControl/>
        <w:autoSpaceDE/>
        <w:autoSpaceDN/>
        <w:adjustRightInd/>
        <w:jc w:val="both"/>
        <w:rPr>
          <w:sz w:val="24"/>
          <w:szCs w:val="24"/>
          <w:highlight w:val="yellow"/>
        </w:rPr>
      </w:pPr>
    </w:p>
    <w:p w:rsidR="00B157A1" w:rsidRDefault="00B157A1" w:rsidP="00602F5D">
      <w:pPr>
        <w:widowControl/>
        <w:autoSpaceDE/>
        <w:autoSpaceDN/>
        <w:adjustRightInd/>
        <w:jc w:val="both"/>
        <w:rPr>
          <w:sz w:val="24"/>
          <w:szCs w:val="24"/>
          <w:highlight w:val="yellow"/>
        </w:rPr>
      </w:pPr>
    </w:p>
    <w:p w:rsidR="00D55CF1" w:rsidRDefault="003A0D96" w:rsidP="00602F5D">
      <w:pPr>
        <w:widowControl/>
        <w:autoSpaceDE/>
        <w:autoSpaceDN/>
        <w:adjustRightInd/>
        <w:jc w:val="both"/>
        <w:rPr>
          <w:sz w:val="16"/>
          <w:szCs w:val="16"/>
        </w:rPr>
      </w:pPr>
      <w:r>
        <w:rPr>
          <w:sz w:val="16"/>
          <w:szCs w:val="16"/>
        </w:rPr>
        <w:t xml:space="preserve">       </w:t>
      </w:r>
    </w:p>
    <w:p w:rsidR="00B157A1" w:rsidRPr="00B157A1" w:rsidRDefault="00C337C8" w:rsidP="00602F5D">
      <w:pPr>
        <w:widowControl/>
        <w:autoSpaceDE/>
        <w:autoSpaceDN/>
        <w:adjustRightInd/>
        <w:jc w:val="both"/>
        <w:rPr>
          <w:sz w:val="16"/>
          <w:szCs w:val="16"/>
        </w:rPr>
      </w:pPr>
      <w:r>
        <w:rPr>
          <w:sz w:val="16"/>
          <w:szCs w:val="16"/>
        </w:rPr>
        <w:t xml:space="preserve"> </w:t>
      </w:r>
      <w:r w:rsidR="00D55CF1">
        <w:rPr>
          <w:sz w:val="16"/>
          <w:szCs w:val="16"/>
        </w:rPr>
        <w:t xml:space="preserve">(c)       </w:t>
      </w:r>
      <w:r w:rsidR="00B157A1" w:rsidRPr="00B157A1">
        <w:rPr>
          <w:sz w:val="16"/>
          <w:szCs w:val="16"/>
        </w:rPr>
        <w:t>Amount impacting income not related to AOCI reclassification.</w:t>
      </w:r>
    </w:p>
    <w:p w:rsidR="00602F5D" w:rsidRPr="003176E3" w:rsidRDefault="00803F0A" w:rsidP="00602F5D">
      <w:pPr>
        <w:pageBreakBefore/>
        <w:widowControl/>
        <w:overflowPunct w:val="0"/>
        <w:spacing w:after="280"/>
        <w:jc w:val="both"/>
        <w:textAlignment w:val="baseline"/>
        <w:rPr>
          <w:b/>
          <w:sz w:val="24"/>
          <w:szCs w:val="20"/>
        </w:rPr>
      </w:pPr>
      <w:r>
        <w:rPr>
          <w:b/>
          <w:sz w:val="24"/>
          <w:szCs w:val="20"/>
        </w:rPr>
        <w:lastRenderedPageBreak/>
        <w:t>6</w:t>
      </w:r>
      <w:r w:rsidR="00602F5D" w:rsidRPr="003176E3">
        <w:rPr>
          <w:b/>
          <w:sz w:val="24"/>
          <w:szCs w:val="20"/>
        </w:rPr>
        <w:t>.</w:t>
      </w:r>
      <w:r w:rsidR="00602F5D" w:rsidRPr="003176E3">
        <w:rPr>
          <w:rFonts w:ascii="Arial Unicode MS" w:eastAsia="Arial Unicode MS" w:hAnsi="Arial Unicode MS" w:cs="Arial Unicode MS"/>
          <w:b/>
          <w:sz w:val="24"/>
          <w:szCs w:val="20"/>
        </w:rPr>
        <w:t xml:space="preserve"> </w:t>
      </w:r>
      <w:r w:rsidR="00602F5D" w:rsidRPr="003176E3">
        <w:rPr>
          <w:b/>
          <w:sz w:val="24"/>
          <w:szCs w:val="20"/>
        </w:rPr>
        <w:t>Derivatives and Hedging Activities (continued)</w:t>
      </w:r>
    </w:p>
    <w:p w:rsidR="00E015C7" w:rsidRPr="003176E3" w:rsidRDefault="00602F5D" w:rsidP="00032A9B">
      <w:pPr>
        <w:widowControl/>
        <w:overflowPunct w:val="0"/>
        <w:spacing w:after="280"/>
        <w:ind w:firstLine="720"/>
        <w:jc w:val="both"/>
        <w:textAlignment w:val="baseline"/>
        <w:rPr>
          <w:sz w:val="22"/>
        </w:rPr>
      </w:pPr>
      <w:r w:rsidRPr="003176E3">
        <w:rPr>
          <w:sz w:val="22"/>
        </w:rPr>
        <w:t xml:space="preserve">The following table summarizes the deferred (gains) and losses for the terminated interest rate derivatives and the related amortization into interest expense for the three months ended </w:t>
      </w:r>
      <w:r w:rsidR="00032A9B">
        <w:rPr>
          <w:sz w:val="22"/>
        </w:rPr>
        <w:t>March</w:t>
      </w:r>
      <w:r w:rsidRPr="003176E3">
        <w:rPr>
          <w:sz w:val="22"/>
        </w:rPr>
        <w:t> 3</w:t>
      </w:r>
      <w:r w:rsidR="00032A9B">
        <w:rPr>
          <w:sz w:val="22"/>
        </w:rPr>
        <w:t>1</w:t>
      </w:r>
      <w:r w:rsidRPr="003176E3">
        <w:rPr>
          <w:sz w:val="22"/>
        </w:rPr>
        <w:t>, 201</w:t>
      </w:r>
      <w:r w:rsidR="00032A9B">
        <w:rPr>
          <w:sz w:val="22"/>
        </w:rPr>
        <w:t>4</w:t>
      </w:r>
      <w:r w:rsidRPr="003176E3">
        <w:rPr>
          <w:sz w:val="22"/>
        </w:rPr>
        <w:t xml:space="preserve"> and 201</w:t>
      </w:r>
      <w:r w:rsidR="00032A9B">
        <w:rPr>
          <w:sz w:val="22"/>
        </w:rPr>
        <w:t>3:</w:t>
      </w:r>
    </w:p>
    <w:tbl>
      <w:tblPr>
        <w:tblW w:w="8887" w:type="dxa"/>
        <w:jc w:val="center"/>
        <w:tblLayout w:type="fixed"/>
        <w:tblCellMar>
          <w:left w:w="0" w:type="dxa"/>
          <w:right w:w="0" w:type="dxa"/>
        </w:tblCellMar>
        <w:tblLook w:val="01E0" w:firstRow="1" w:lastRow="1" w:firstColumn="1" w:lastColumn="1" w:noHBand="0" w:noVBand="0"/>
      </w:tblPr>
      <w:tblGrid>
        <w:gridCol w:w="13"/>
        <w:gridCol w:w="498"/>
        <w:gridCol w:w="12"/>
        <w:gridCol w:w="1092"/>
        <w:gridCol w:w="977"/>
        <w:gridCol w:w="810"/>
        <w:gridCol w:w="24"/>
        <w:gridCol w:w="637"/>
        <w:gridCol w:w="193"/>
        <w:gridCol w:w="24"/>
        <w:gridCol w:w="738"/>
        <w:gridCol w:w="780"/>
        <w:gridCol w:w="35"/>
        <w:gridCol w:w="693"/>
        <w:gridCol w:w="35"/>
        <w:gridCol w:w="640"/>
        <w:gridCol w:w="35"/>
        <w:gridCol w:w="546"/>
        <w:gridCol w:w="35"/>
        <w:gridCol w:w="53"/>
        <w:gridCol w:w="11"/>
        <w:gridCol w:w="13"/>
        <w:gridCol w:w="33"/>
        <w:gridCol w:w="14"/>
        <w:gridCol w:w="10"/>
        <w:gridCol w:w="912"/>
        <w:gridCol w:w="14"/>
        <w:gridCol w:w="10"/>
      </w:tblGrid>
      <w:tr w:rsidR="00602F5D" w:rsidRPr="0053635E" w:rsidTr="006C2959">
        <w:trPr>
          <w:gridAfter w:val="1"/>
          <w:wAfter w:w="10" w:type="dxa"/>
          <w:jc w:val="center"/>
        </w:trPr>
        <w:tc>
          <w:tcPr>
            <w:tcW w:w="511" w:type="dxa"/>
            <w:gridSpan w:val="2"/>
            <w:vAlign w:val="bottom"/>
          </w:tcPr>
          <w:p w:rsidR="00602F5D" w:rsidRPr="0053635E" w:rsidRDefault="00602F5D" w:rsidP="00032A9B">
            <w:pPr>
              <w:widowControl/>
              <w:overflowPunct w:val="0"/>
              <w:textAlignment w:val="baseline"/>
              <w:rPr>
                <w:b/>
                <w:sz w:val="14"/>
                <w:szCs w:val="14"/>
                <w:highlight w:val="yellow"/>
              </w:rPr>
            </w:pPr>
          </w:p>
        </w:tc>
        <w:tc>
          <w:tcPr>
            <w:tcW w:w="1104" w:type="dxa"/>
            <w:gridSpan w:val="2"/>
            <w:vAlign w:val="bottom"/>
          </w:tcPr>
          <w:p w:rsidR="00602F5D" w:rsidRPr="0053635E" w:rsidRDefault="00602F5D" w:rsidP="00602F5D">
            <w:pPr>
              <w:widowControl/>
              <w:overflowPunct w:val="0"/>
              <w:jc w:val="center"/>
              <w:textAlignment w:val="baseline"/>
              <w:rPr>
                <w:b/>
                <w:sz w:val="14"/>
                <w:szCs w:val="14"/>
                <w:highlight w:val="yellow"/>
              </w:rPr>
            </w:pPr>
          </w:p>
        </w:tc>
        <w:tc>
          <w:tcPr>
            <w:tcW w:w="977" w:type="dxa"/>
            <w:vAlign w:val="bottom"/>
          </w:tcPr>
          <w:p w:rsidR="00602F5D" w:rsidRPr="0053635E" w:rsidRDefault="00602F5D" w:rsidP="00602F5D">
            <w:pPr>
              <w:widowControl/>
              <w:overflowPunct w:val="0"/>
              <w:jc w:val="center"/>
              <w:textAlignment w:val="baseline"/>
              <w:rPr>
                <w:b/>
                <w:sz w:val="14"/>
                <w:szCs w:val="14"/>
                <w:highlight w:val="yellow"/>
              </w:rPr>
            </w:pPr>
          </w:p>
        </w:tc>
        <w:tc>
          <w:tcPr>
            <w:tcW w:w="810" w:type="dxa"/>
            <w:vAlign w:val="bottom"/>
          </w:tcPr>
          <w:p w:rsidR="00602F5D" w:rsidRPr="0053635E" w:rsidRDefault="00602F5D" w:rsidP="00602F5D">
            <w:pPr>
              <w:widowControl/>
              <w:overflowPunct w:val="0"/>
              <w:jc w:val="center"/>
              <w:textAlignment w:val="baseline"/>
              <w:rPr>
                <w:b/>
                <w:sz w:val="14"/>
                <w:szCs w:val="14"/>
                <w:highlight w:val="yellow"/>
              </w:rPr>
            </w:pPr>
          </w:p>
        </w:tc>
        <w:tc>
          <w:tcPr>
            <w:tcW w:w="854" w:type="dxa"/>
            <w:gridSpan w:val="3"/>
            <w:vAlign w:val="bottom"/>
          </w:tcPr>
          <w:p w:rsidR="00602F5D" w:rsidRPr="0053635E" w:rsidRDefault="00602F5D" w:rsidP="00602F5D">
            <w:pPr>
              <w:widowControl/>
              <w:overflowPunct w:val="0"/>
              <w:jc w:val="center"/>
              <w:textAlignment w:val="baseline"/>
              <w:rPr>
                <w:b/>
                <w:sz w:val="14"/>
                <w:szCs w:val="14"/>
                <w:highlight w:val="yellow"/>
              </w:rPr>
            </w:pPr>
          </w:p>
        </w:tc>
        <w:tc>
          <w:tcPr>
            <w:tcW w:w="762" w:type="dxa"/>
            <w:gridSpan w:val="2"/>
            <w:vAlign w:val="bottom"/>
          </w:tcPr>
          <w:p w:rsidR="00602F5D" w:rsidRPr="0053635E" w:rsidRDefault="00602F5D" w:rsidP="00602F5D">
            <w:pPr>
              <w:widowControl/>
              <w:overflowPunct w:val="0"/>
              <w:jc w:val="center"/>
              <w:textAlignment w:val="baseline"/>
              <w:rPr>
                <w:b/>
                <w:sz w:val="14"/>
                <w:szCs w:val="14"/>
                <w:highlight w:val="yellow"/>
              </w:rPr>
            </w:pPr>
          </w:p>
        </w:tc>
        <w:tc>
          <w:tcPr>
            <w:tcW w:w="780" w:type="dxa"/>
            <w:vAlign w:val="bottom"/>
          </w:tcPr>
          <w:p w:rsidR="00602F5D" w:rsidRPr="0053635E" w:rsidRDefault="00602F5D" w:rsidP="00602F5D">
            <w:pPr>
              <w:widowControl/>
              <w:overflowPunct w:val="0"/>
              <w:jc w:val="center"/>
              <w:textAlignment w:val="baseline"/>
              <w:rPr>
                <w:b/>
                <w:sz w:val="14"/>
                <w:szCs w:val="14"/>
                <w:highlight w:val="yellow"/>
              </w:rPr>
            </w:pPr>
          </w:p>
        </w:tc>
        <w:tc>
          <w:tcPr>
            <w:tcW w:w="728" w:type="dxa"/>
            <w:gridSpan w:val="2"/>
            <w:vAlign w:val="bottom"/>
          </w:tcPr>
          <w:p w:rsidR="00602F5D" w:rsidRPr="0053635E" w:rsidRDefault="00602F5D" w:rsidP="00602F5D">
            <w:pPr>
              <w:widowControl/>
              <w:overflowPunct w:val="0"/>
              <w:ind w:right="-108"/>
              <w:jc w:val="center"/>
              <w:textAlignment w:val="baseline"/>
              <w:rPr>
                <w:b/>
                <w:sz w:val="14"/>
                <w:szCs w:val="14"/>
                <w:highlight w:val="yellow"/>
              </w:rPr>
            </w:pPr>
          </w:p>
        </w:tc>
        <w:tc>
          <w:tcPr>
            <w:tcW w:w="675" w:type="dxa"/>
            <w:gridSpan w:val="2"/>
            <w:vAlign w:val="bottom"/>
          </w:tcPr>
          <w:p w:rsidR="00602F5D" w:rsidRPr="0053635E" w:rsidRDefault="00602F5D" w:rsidP="00602F5D">
            <w:pPr>
              <w:widowControl/>
              <w:overflowPunct w:val="0"/>
              <w:ind w:right="-108"/>
              <w:jc w:val="center"/>
              <w:textAlignment w:val="baseline"/>
              <w:rPr>
                <w:b/>
                <w:sz w:val="14"/>
                <w:szCs w:val="14"/>
                <w:highlight w:val="yellow"/>
              </w:rPr>
            </w:pPr>
          </w:p>
        </w:tc>
        <w:tc>
          <w:tcPr>
            <w:tcW w:w="581" w:type="dxa"/>
            <w:gridSpan w:val="2"/>
          </w:tcPr>
          <w:p w:rsidR="00602F5D" w:rsidRPr="0053635E" w:rsidRDefault="00602F5D" w:rsidP="00602F5D">
            <w:pPr>
              <w:widowControl/>
              <w:overflowPunct w:val="0"/>
              <w:ind w:right="-108"/>
              <w:jc w:val="center"/>
              <w:textAlignment w:val="baseline"/>
              <w:rPr>
                <w:b/>
                <w:sz w:val="14"/>
                <w:szCs w:val="14"/>
                <w:highlight w:val="yellow"/>
              </w:rPr>
            </w:pPr>
          </w:p>
        </w:tc>
        <w:tc>
          <w:tcPr>
            <w:tcW w:w="99" w:type="dxa"/>
            <w:gridSpan w:val="3"/>
          </w:tcPr>
          <w:p w:rsidR="00602F5D" w:rsidRPr="0053635E" w:rsidRDefault="00602F5D" w:rsidP="00602F5D">
            <w:pPr>
              <w:widowControl/>
              <w:overflowPunct w:val="0"/>
              <w:ind w:right="-108"/>
              <w:jc w:val="center"/>
              <w:textAlignment w:val="baseline"/>
              <w:rPr>
                <w:b/>
                <w:sz w:val="14"/>
                <w:szCs w:val="14"/>
                <w:highlight w:val="yellow"/>
              </w:rPr>
            </w:pPr>
          </w:p>
        </w:tc>
        <w:tc>
          <w:tcPr>
            <w:tcW w:w="60" w:type="dxa"/>
            <w:gridSpan w:val="3"/>
          </w:tcPr>
          <w:p w:rsidR="00602F5D" w:rsidRPr="0053635E" w:rsidRDefault="00602F5D" w:rsidP="00602F5D">
            <w:pPr>
              <w:widowControl/>
              <w:overflowPunct w:val="0"/>
              <w:ind w:right="-108"/>
              <w:jc w:val="center"/>
              <w:textAlignment w:val="baseline"/>
              <w:rPr>
                <w:b/>
                <w:sz w:val="14"/>
                <w:szCs w:val="14"/>
                <w:highlight w:val="yellow"/>
              </w:rPr>
            </w:pPr>
          </w:p>
        </w:tc>
        <w:tc>
          <w:tcPr>
            <w:tcW w:w="936" w:type="dxa"/>
            <w:gridSpan w:val="3"/>
            <w:vAlign w:val="bottom"/>
          </w:tcPr>
          <w:p w:rsidR="00602F5D" w:rsidRPr="0053635E" w:rsidRDefault="00602F5D" w:rsidP="00602F5D">
            <w:pPr>
              <w:widowControl/>
              <w:overflowPunct w:val="0"/>
              <w:ind w:right="-108"/>
              <w:jc w:val="center"/>
              <w:textAlignment w:val="baseline"/>
              <w:rPr>
                <w:b/>
                <w:sz w:val="14"/>
                <w:szCs w:val="14"/>
                <w:highlight w:val="yellow"/>
              </w:rPr>
            </w:pPr>
          </w:p>
        </w:tc>
      </w:tr>
      <w:tr w:rsidR="00E015C7" w:rsidRPr="0053635E" w:rsidTr="006C2959">
        <w:trPr>
          <w:gridAfter w:val="1"/>
          <w:wAfter w:w="10" w:type="dxa"/>
          <w:jc w:val="center"/>
        </w:trPr>
        <w:tc>
          <w:tcPr>
            <w:tcW w:w="511"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1104"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977" w:type="dxa"/>
            <w:vAlign w:val="bottom"/>
          </w:tcPr>
          <w:p w:rsidR="00E015C7" w:rsidRPr="0053635E" w:rsidRDefault="00E015C7" w:rsidP="00602F5D">
            <w:pPr>
              <w:widowControl/>
              <w:overflowPunct w:val="0"/>
              <w:jc w:val="center"/>
              <w:textAlignment w:val="baseline"/>
              <w:rPr>
                <w:b/>
                <w:sz w:val="14"/>
                <w:szCs w:val="14"/>
                <w:highlight w:val="yellow"/>
              </w:rPr>
            </w:pPr>
          </w:p>
        </w:tc>
        <w:tc>
          <w:tcPr>
            <w:tcW w:w="810" w:type="dxa"/>
            <w:vAlign w:val="bottom"/>
          </w:tcPr>
          <w:p w:rsidR="00E015C7" w:rsidRPr="0053635E" w:rsidRDefault="00E015C7" w:rsidP="00602F5D">
            <w:pPr>
              <w:widowControl/>
              <w:overflowPunct w:val="0"/>
              <w:jc w:val="center"/>
              <w:textAlignment w:val="baseline"/>
              <w:rPr>
                <w:b/>
                <w:sz w:val="14"/>
                <w:szCs w:val="14"/>
                <w:highlight w:val="yellow"/>
              </w:rPr>
            </w:pPr>
          </w:p>
        </w:tc>
        <w:tc>
          <w:tcPr>
            <w:tcW w:w="854" w:type="dxa"/>
            <w:gridSpan w:val="3"/>
            <w:vAlign w:val="bottom"/>
          </w:tcPr>
          <w:p w:rsidR="00E015C7" w:rsidRPr="0053635E" w:rsidRDefault="00E015C7" w:rsidP="00602F5D">
            <w:pPr>
              <w:widowControl/>
              <w:overflowPunct w:val="0"/>
              <w:jc w:val="center"/>
              <w:textAlignment w:val="baseline"/>
              <w:rPr>
                <w:b/>
                <w:sz w:val="14"/>
                <w:szCs w:val="14"/>
                <w:highlight w:val="yellow"/>
              </w:rPr>
            </w:pPr>
          </w:p>
        </w:tc>
        <w:tc>
          <w:tcPr>
            <w:tcW w:w="762"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780" w:type="dxa"/>
            <w:vAlign w:val="bottom"/>
          </w:tcPr>
          <w:p w:rsidR="00E015C7" w:rsidRPr="0053635E" w:rsidRDefault="00E015C7" w:rsidP="00602F5D">
            <w:pPr>
              <w:widowControl/>
              <w:overflowPunct w:val="0"/>
              <w:jc w:val="center"/>
              <w:textAlignment w:val="baseline"/>
              <w:rPr>
                <w:b/>
                <w:sz w:val="14"/>
                <w:szCs w:val="14"/>
                <w:highlight w:val="yellow"/>
              </w:rPr>
            </w:pPr>
          </w:p>
        </w:tc>
        <w:tc>
          <w:tcPr>
            <w:tcW w:w="728" w:type="dxa"/>
            <w:gridSpan w:val="2"/>
            <w:vAlign w:val="bottom"/>
          </w:tcPr>
          <w:p w:rsidR="00E015C7" w:rsidRPr="0053635E" w:rsidRDefault="00E015C7" w:rsidP="00602F5D">
            <w:pPr>
              <w:widowControl/>
              <w:overflowPunct w:val="0"/>
              <w:ind w:right="-108"/>
              <w:jc w:val="center"/>
              <w:textAlignment w:val="baseline"/>
              <w:rPr>
                <w:b/>
                <w:sz w:val="14"/>
                <w:szCs w:val="14"/>
                <w:highlight w:val="yellow"/>
              </w:rPr>
            </w:pPr>
          </w:p>
        </w:tc>
        <w:tc>
          <w:tcPr>
            <w:tcW w:w="1256" w:type="dxa"/>
            <w:gridSpan w:val="4"/>
            <w:vMerge w:val="restart"/>
          </w:tcPr>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Amount of </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Deferred Loss Amortized </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(including</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Accelerated Amortization)</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into Interest Expense for the</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Three Months</w:t>
            </w:r>
          </w:p>
          <w:p w:rsidR="00E015C7" w:rsidRPr="00E61C8B" w:rsidRDefault="00E015C7" w:rsidP="006C2959">
            <w:pPr>
              <w:widowControl/>
              <w:overflowPunct w:val="0"/>
              <w:ind w:right="-108"/>
              <w:jc w:val="center"/>
              <w:textAlignment w:val="baseline"/>
              <w:rPr>
                <w:b/>
                <w:sz w:val="14"/>
                <w:szCs w:val="14"/>
              </w:rPr>
            </w:pPr>
            <w:r w:rsidRPr="00E61C8B">
              <w:rPr>
                <w:b/>
                <w:sz w:val="14"/>
                <w:szCs w:val="14"/>
              </w:rPr>
              <w:t xml:space="preserve"> Ended </w:t>
            </w:r>
            <w:r w:rsidR="006C2959" w:rsidRPr="00E61C8B">
              <w:rPr>
                <w:b/>
                <w:sz w:val="14"/>
                <w:szCs w:val="14"/>
              </w:rPr>
              <w:t>March</w:t>
            </w:r>
            <w:r w:rsidRPr="00E61C8B">
              <w:rPr>
                <w:b/>
                <w:sz w:val="14"/>
                <w:szCs w:val="14"/>
              </w:rPr>
              <w:t xml:space="preserve"> 3</w:t>
            </w:r>
            <w:r w:rsidR="006C2959" w:rsidRPr="00E61C8B">
              <w:rPr>
                <w:b/>
                <w:sz w:val="14"/>
                <w:szCs w:val="14"/>
              </w:rPr>
              <w:t>1</w:t>
            </w:r>
            <w:r w:rsidRPr="00E61C8B">
              <w:rPr>
                <w:b/>
                <w:sz w:val="14"/>
                <w:szCs w:val="14"/>
              </w:rPr>
              <w:t>,</w:t>
            </w:r>
          </w:p>
        </w:tc>
        <w:tc>
          <w:tcPr>
            <w:tcW w:w="99" w:type="dxa"/>
            <w:gridSpan w:val="3"/>
            <w:vMerge w:val="restart"/>
          </w:tcPr>
          <w:p w:rsidR="00E015C7" w:rsidRPr="0053635E" w:rsidRDefault="00E015C7" w:rsidP="00CF2E22">
            <w:pPr>
              <w:widowControl/>
              <w:overflowPunct w:val="0"/>
              <w:ind w:right="-108"/>
              <w:jc w:val="center"/>
              <w:textAlignment w:val="baseline"/>
              <w:rPr>
                <w:b/>
                <w:sz w:val="14"/>
                <w:szCs w:val="14"/>
                <w:highlight w:val="yellow"/>
              </w:rPr>
            </w:pPr>
          </w:p>
        </w:tc>
        <w:tc>
          <w:tcPr>
            <w:tcW w:w="60" w:type="dxa"/>
            <w:gridSpan w:val="3"/>
            <w:vMerge w:val="restart"/>
          </w:tcPr>
          <w:p w:rsidR="00E015C7" w:rsidRPr="0053635E" w:rsidRDefault="00E015C7" w:rsidP="00CF2E22">
            <w:pPr>
              <w:widowControl/>
              <w:overflowPunct w:val="0"/>
              <w:ind w:right="-108"/>
              <w:jc w:val="center"/>
              <w:textAlignment w:val="baseline"/>
              <w:rPr>
                <w:b/>
                <w:sz w:val="14"/>
                <w:szCs w:val="14"/>
                <w:highlight w:val="yellow"/>
              </w:rPr>
            </w:pPr>
          </w:p>
        </w:tc>
        <w:tc>
          <w:tcPr>
            <w:tcW w:w="936" w:type="dxa"/>
            <w:gridSpan w:val="3"/>
            <w:vAlign w:val="bottom"/>
          </w:tcPr>
          <w:p w:rsidR="00E015C7" w:rsidRPr="0053635E" w:rsidRDefault="00E015C7" w:rsidP="00602F5D">
            <w:pPr>
              <w:widowControl/>
              <w:overflowPunct w:val="0"/>
              <w:ind w:right="-108"/>
              <w:jc w:val="center"/>
              <w:textAlignment w:val="baseline"/>
              <w:rPr>
                <w:b/>
                <w:sz w:val="14"/>
                <w:szCs w:val="14"/>
                <w:highlight w:val="yellow"/>
              </w:rPr>
            </w:pPr>
          </w:p>
        </w:tc>
      </w:tr>
      <w:tr w:rsidR="00E015C7" w:rsidRPr="0053635E" w:rsidTr="006C2959">
        <w:trPr>
          <w:gridAfter w:val="1"/>
          <w:wAfter w:w="10" w:type="dxa"/>
          <w:jc w:val="center"/>
        </w:trPr>
        <w:tc>
          <w:tcPr>
            <w:tcW w:w="511"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1104"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977" w:type="dxa"/>
            <w:vAlign w:val="bottom"/>
          </w:tcPr>
          <w:p w:rsidR="00E015C7" w:rsidRPr="0053635E" w:rsidRDefault="00E015C7" w:rsidP="00602F5D">
            <w:pPr>
              <w:widowControl/>
              <w:overflowPunct w:val="0"/>
              <w:jc w:val="center"/>
              <w:textAlignment w:val="baseline"/>
              <w:rPr>
                <w:b/>
                <w:sz w:val="14"/>
                <w:szCs w:val="14"/>
                <w:highlight w:val="yellow"/>
              </w:rPr>
            </w:pPr>
          </w:p>
        </w:tc>
        <w:tc>
          <w:tcPr>
            <w:tcW w:w="810" w:type="dxa"/>
            <w:vAlign w:val="bottom"/>
          </w:tcPr>
          <w:p w:rsidR="00E015C7" w:rsidRPr="0053635E" w:rsidRDefault="00E015C7" w:rsidP="00602F5D">
            <w:pPr>
              <w:widowControl/>
              <w:overflowPunct w:val="0"/>
              <w:jc w:val="center"/>
              <w:textAlignment w:val="baseline"/>
              <w:rPr>
                <w:b/>
                <w:sz w:val="14"/>
                <w:szCs w:val="14"/>
                <w:highlight w:val="yellow"/>
              </w:rPr>
            </w:pPr>
          </w:p>
        </w:tc>
        <w:tc>
          <w:tcPr>
            <w:tcW w:w="661"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955" w:type="dxa"/>
            <w:gridSpan w:val="3"/>
            <w:vAlign w:val="bottom"/>
          </w:tcPr>
          <w:p w:rsidR="00E015C7" w:rsidRPr="0053635E" w:rsidRDefault="00E015C7" w:rsidP="00602F5D">
            <w:pPr>
              <w:widowControl/>
              <w:overflowPunct w:val="0"/>
              <w:jc w:val="center"/>
              <w:textAlignment w:val="baseline"/>
              <w:rPr>
                <w:b/>
                <w:sz w:val="14"/>
                <w:szCs w:val="14"/>
                <w:highlight w:val="yellow"/>
              </w:rPr>
            </w:pPr>
          </w:p>
        </w:tc>
        <w:tc>
          <w:tcPr>
            <w:tcW w:w="780" w:type="dxa"/>
            <w:vAlign w:val="bottom"/>
          </w:tcPr>
          <w:p w:rsidR="00E015C7" w:rsidRPr="0053635E" w:rsidRDefault="00E015C7" w:rsidP="00602F5D">
            <w:pPr>
              <w:widowControl/>
              <w:overflowPunct w:val="0"/>
              <w:jc w:val="center"/>
              <w:textAlignment w:val="baseline"/>
              <w:rPr>
                <w:b/>
                <w:sz w:val="14"/>
                <w:szCs w:val="14"/>
                <w:highlight w:val="yellow"/>
              </w:rPr>
            </w:pPr>
          </w:p>
        </w:tc>
        <w:tc>
          <w:tcPr>
            <w:tcW w:w="728" w:type="dxa"/>
            <w:gridSpan w:val="2"/>
            <w:vAlign w:val="bottom"/>
          </w:tcPr>
          <w:p w:rsidR="00E015C7" w:rsidRPr="0053635E" w:rsidRDefault="00E015C7" w:rsidP="00602F5D">
            <w:pPr>
              <w:widowControl/>
              <w:overflowPunct w:val="0"/>
              <w:ind w:right="-108"/>
              <w:jc w:val="center"/>
              <w:textAlignment w:val="baseline"/>
              <w:rPr>
                <w:b/>
                <w:sz w:val="14"/>
                <w:szCs w:val="14"/>
                <w:highlight w:val="yellow"/>
              </w:rPr>
            </w:pPr>
          </w:p>
        </w:tc>
        <w:tc>
          <w:tcPr>
            <w:tcW w:w="1256" w:type="dxa"/>
            <w:gridSpan w:val="4"/>
            <w:vMerge/>
            <w:vAlign w:val="bottom"/>
          </w:tcPr>
          <w:p w:rsidR="00E015C7" w:rsidRPr="00E61C8B" w:rsidRDefault="00E015C7" w:rsidP="00602F5D">
            <w:pPr>
              <w:widowControl/>
              <w:overflowPunct w:val="0"/>
              <w:ind w:right="-108"/>
              <w:jc w:val="center"/>
              <w:textAlignment w:val="baseline"/>
              <w:rPr>
                <w:b/>
                <w:sz w:val="14"/>
                <w:szCs w:val="14"/>
              </w:rPr>
            </w:pPr>
          </w:p>
        </w:tc>
        <w:tc>
          <w:tcPr>
            <w:tcW w:w="99"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60"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936" w:type="dxa"/>
            <w:gridSpan w:val="3"/>
            <w:vMerge w:val="restart"/>
            <w:vAlign w:val="bottom"/>
          </w:tcPr>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Amount </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of Deferred</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Loss Expected</w:t>
            </w:r>
            <w:r w:rsidR="00A64A0E">
              <w:rPr>
                <w:b/>
                <w:sz w:val="14"/>
                <w:szCs w:val="14"/>
              </w:rPr>
              <w:t xml:space="preserve">  </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to be</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Amortized</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Over</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the Next</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Twelve</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Months </w:t>
            </w:r>
          </w:p>
        </w:tc>
      </w:tr>
      <w:tr w:rsidR="00E015C7" w:rsidRPr="0053635E" w:rsidTr="006C2959">
        <w:trPr>
          <w:gridAfter w:val="1"/>
          <w:wAfter w:w="10" w:type="dxa"/>
          <w:jc w:val="center"/>
        </w:trPr>
        <w:tc>
          <w:tcPr>
            <w:tcW w:w="511"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1104"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977" w:type="dxa"/>
            <w:vAlign w:val="bottom"/>
          </w:tcPr>
          <w:p w:rsidR="00E015C7" w:rsidRPr="0053635E" w:rsidRDefault="00E015C7" w:rsidP="00602F5D">
            <w:pPr>
              <w:widowControl/>
              <w:overflowPunct w:val="0"/>
              <w:jc w:val="center"/>
              <w:textAlignment w:val="baseline"/>
              <w:rPr>
                <w:b/>
                <w:sz w:val="14"/>
                <w:szCs w:val="14"/>
                <w:highlight w:val="yellow"/>
              </w:rPr>
            </w:pPr>
          </w:p>
        </w:tc>
        <w:tc>
          <w:tcPr>
            <w:tcW w:w="810" w:type="dxa"/>
            <w:vAlign w:val="bottom"/>
          </w:tcPr>
          <w:p w:rsidR="00E015C7" w:rsidRPr="0053635E" w:rsidRDefault="00E015C7" w:rsidP="00602F5D">
            <w:pPr>
              <w:widowControl/>
              <w:overflowPunct w:val="0"/>
              <w:jc w:val="center"/>
              <w:textAlignment w:val="baseline"/>
              <w:rPr>
                <w:b/>
                <w:sz w:val="14"/>
                <w:szCs w:val="14"/>
                <w:highlight w:val="yellow"/>
              </w:rPr>
            </w:pPr>
          </w:p>
        </w:tc>
        <w:tc>
          <w:tcPr>
            <w:tcW w:w="661"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955" w:type="dxa"/>
            <w:gridSpan w:val="3"/>
            <w:vAlign w:val="bottom"/>
          </w:tcPr>
          <w:p w:rsidR="00E015C7" w:rsidRPr="0053635E" w:rsidRDefault="00E015C7" w:rsidP="00602F5D">
            <w:pPr>
              <w:widowControl/>
              <w:overflowPunct w:val="0"/>
              <w:jc w:val="center"/>
              <w:textAlignment w:val="baseline"/>
              <w:rPr>
                <w:b/>
                <w:sz w:val="14"/>
                <w:szCs w:val="14"/>
                <w:highlight w:val="yellow"/>
              </w:rPr>
            </w:pPr>
          </w:p>
        </w:tc>
        <w:tc>
          <w:tcPr>
            <w:tcW w:w="780" w:type="dxa"/>
            <w:vAlign w:val="bottom"/>
          </w:tcPr>
          <w:p w:rsidR="00E015C7" w:rsidRPr="0053635E" w:rsidRDefault="00E015C7" w:rsidP="00602F5D">
            <w:pPr>
              <w:widowControl/>
              <w:overflowPunct w:val="0"/>
              <w:jc w:val="center"/>
              <w:textAlignment w:val="baseline"/>
              <w:rPr>
                <w:b/>
                <w:sz w:val="14"/>
                <w:szCs w:val="14"/>
                <w:highlight w:val="yellow"/>
              </w:rPr>
            </w:pPr>
          </w:p>
        </w:tc>
        <w:tc>
          <w:tcPr>
            <w:tcW w:w="728" w:type="dxa"/>
            <w:gridSpan w:val="2"/>
            <w:vAlign w:val="bottom"/>
          </w:tcPr>
          <w:p w:rsidR="00E015C7" w:rsidRPr="0053635E" w:rsidRDefault="00E015C7" w:rsidP="00602F5D">
            <w:pPr>
              <w:widowControl/>
              <w:overflowPunct w:val="0"/>
              <w:ind w:right="-108"/>
              <w:jc w:val="center"/>
              <w:textAlignment w:val="baseline"/>
              <w:rPr>
                <w:b/>
                <w:sz w:val="14"/>
                <w:szCs w:val="14"/>
                <w:highlight w:val="yellow"/>
              </w:rPr>
            </w:pPr>
          </w:p>
        </w:tc>
        <w:tc>
          <w:tcPr>
            <w:tcW w:w="1256" w:type="dxa"/>
            <w:gridSpan w:val="4"/>
            <w:vMerge/>
            <w:vAlign w:val="bottom"/>
          </w:tcPr>
          <w:p w:rsidR="00E015C7" w:rsidRPr="00E61C8B" w:rsidRDefault="00E015C7" w:rsidP="00602F5D">
            <w:pPr>
              <w:widowControl/>
              <w:overflowPunct w:val="0"/>
              <w:ind w:right="-108"/>
              <w:jc w:val="center"/>
              <w:textAlignment w:val="baseline"/>
              <w:rPr>
                <w:b/>
                <w:sz w:val="14"/>
                <w:szCs w:val="14"/>
              </w:rPr>
            </w:pPr>
          </w:p>
        </w:tc>
        <w:tc>
          <w:tcPr>
            <w:tcW w:w="99"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60"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936" w:type="dxa"/>
            <w:gridSpan w:val="3"/>
            <w:vMerge/>
            <w:vAlign w:val="bottom"/>
          </w:tcPr>
          <w:p w:rsidR="00E015C7" w:rsidRPr="00E61C8B" w:rsidRDefault="00E015C7" w:rsidP="00602F5D">
            <w:pPr>
              <w:widowControl/>
              <w:overflowPunct w:val="0"/>
              <w:ind w:right="-108"/>
              <w:jc w:val="center"/>
              <w:textAlignment w:val="baseline"/>
              <w:rPr>
                <w:b/>
                <w:sz w:val="14"/>
                <w:szCs w:val="14"/>
              </w:rPr>
            </w:pPr>
          </w:p>
        </w:tc>
      </w:tr>
      <w:tr w:rsidR="00E015C7" w:rsidRPr="0053635E" w:rsidTr="006C2959">
        <w:trPr>
          <w:gridAfter w:val="1"/>
          <w:wAfter w:w="10" w:type="dxa"/>
          <w:jc w:val="center"/>
        </w:trPr>
        <w:tc>
          <w:tcPr>
            <w:tcW w:w="511"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1104"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977" w:type="dxa"/>
            <w:vAlign w:val="bottom"/>
          </w:tcPr>
          <w:p w:rsidR="00E015C7" w:rsidRPr="0053635E" w:rsidRDefault="00E015C7" w:rsidP="00602F5D">
            <w:pPr>
              <w:widowControl/>
              <w:overflowPunct w:val="0"/>
              <w:jc w:val="center"/>
              <w:textAlignment w:val="baseline"/>
              <w:rPr>
                <w:b/>
                <w:sz w:val="14"/>
                <w:szCs w:val="14"/>
                <w:highlight w:val="yellow"/>
              </w:rPr>
            </w:pPr>
          </w:p>
        </w:tc>
        <w:tc>
          <w:tcPr>
            <w:tcW w:w="810" w:type="dxa"/>
            <w:vAlign w:val="bottom"/>
          </w:tcPr>
          <w:p w:rsidR="00E015C7" w:rsidRPr="0053635E" w:rsidRDefault="00E015C7" w:rsidP="00602F5D">
            <w:pPr>
              <w:widowControl/>
              <w:overflowPunct w:val="0"/>
              <w:jc w:val="center"/>
              <w:textAlignment w:val="baseline"/>
              <w:rPr>
                <w:b/>
                <w:sz w:val="14"/>
                <w:szCs w:val="14"/>
                <w:highlight w:val="yellow"/>
              </w:rPr>
            </w:pPr>
          </w:p>
        </w:tc>
        <w:tc>
          <w:tcPr>
            <w:tcW w:w="661"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955" w:type="dxa"/>
            <w:gridSpan w:val="3"/>
            <w:vAlign w:val="bottom"/>
          </w:tcPr>
          <w:p w:rsidR="00E015C7" w:rsidRPr="0053635E" w:rsidRDefault="00E015C7" w:rsidP="00602F5D">
            <w:pPr>
              <w:widowControl/>
              <w:overflowPunct w:val="0"/>
              <w:jc w:val="center"/>
              <w:textAlignment w:val="baseline"/>
              <w:rPr>
                <w:b/>
                <w:sz w:val="14"/>
                <w:szCs w:val="14"/>
                <w:highlight w:val="yellow"/>
              </w:rPr>
            </w:pPr>
          </w:p>
        </w:tc>
        <w:tc>
          <w:tcPr>
            <w:tcW w:w="780" w:type="dxa"/>
            <w:vAlign w:val="bottom"/>
          </w:tcPr>
          <w:p w:rsidR="00E015C7" w:rsidRPr="00E61C8B" w:rsidRDefault="00E015C7" w:rsidP="00602F5D">
            <w:pPr>
              <w:widowControl/>
              <w:overflowPunct w:val="0"/>
              <w:jc w:val="center"/>
              <w:textAlignment w:val="baseline"/>
              <w:rPr>
                <w:b/>
                <w:sz w:val="14"/>
                <w:szCs w:val="14"/>
              </w:rPr>
            </w:pPr>
          </w:p>
        </w:tc>
        <w:tc>
          <w:tcPr>
            <w:tcW w:w="728" w:type="dxa"/>
            <w:gridSpan w:val="2"/>
            <w:vMerge w:val="restart"/>
            <w:vAlign w:val="bottom"/>
          </w:tcPr>
          <w:p w:rsidR="00E015C7" w:rsidRPr="00E61C8B" w:rsidRDefault="00E015C7" w:rsidP="00602F5D">
            <w:pPr>
              <w:widowControl/>
              <w:overflowPunct w:val="0"/>
              <w:ind w:right="-108"/>
              <w:jc w:val="center"/>
              <w:textAlignment w:val="baseline"/>
              <w:rPr>
                <w:b/>
                <w:sz w:val="14"/>
                <w:szCs w:val="14"/>
              </w:rPr>
            </w:pPr>
            <w:r w:rsidRPr="00E61C8B">
              <w:rPr>
                <w:b/>
                <w:sz w:val="14"/>
                <w:szCs w:val="14"/>
              </w:rPr>
              <w:t>Un-</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amortized Deferred (Gain) or</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Loss at</w:t>
            </w:r>
          </w:p>
          <w:p w:rsidR="00E015C7" w:rsidRPr="00E61C8B" w:rsidRDefault="00E015C7" w:rsidP="00602F5D">
            <w:pPr>
              <w:widowControl/>
              <w:overflowPunct w:val="0"/>
              <w:ind w:right="-108"/>
              <w:jc w:val="center"/>
              <w:textAlignment w:val="baseline"/>
              <w:rPr>
                <w:b/>
                <w:sz w:val="14"/>
                <w:szCs w:val="14"/>
              </w:rPr>
            </w:pPr>
            <w:r w:rsidRPr="00E61C8B">
              <w:rPr>
                <w:b/>
                <w:sz w:val="14"/>
                <w:szCs w:val="14"/>
              </w:rPr>
              <w:t xml:space="preserve">  </w:t>
            </w:r>
            <w:r w:rsidR="006C2959" w:rsidRPr="00E61C8B">
              <w:rPr>
                <w:b/>
                <w:sz w:val="14"/>
                <w:szCs w:val="14"/>
              </w:rPr>
              <w:t>March</w:t>
            </w:r>
            <w:r w:rsidRPr="00E61C8B">
              <w:rPr>
                <w:b/>
                <w:sz w:val="14"/>
                <w:szCs w:val="14"/>
              </w:rPr>
              <w:t xml:space="preserve"> 3</w:t>
            </w:r>
            <w:r w:rsidR="006C2959" w:rsidRPr="00E61C8B">
              <w:rPr>
                <w:b/>
                <w:sz w:val="14"/>
                <w:szCs w:val="14"/>
              </w:rPr>
              <w:t>1</w:t>
            </w:r>
            <w:r w:rsidRPr="00E61C8B">
              <w:rPr>
                <w:b/>
                <w:sz w:val="14"/>
                <w:szCs w:val="14"/>
              </w:rPr>
              <w:t>,</w:t>
            </w:r>
          </w:p>
          <w:p w:rsidR="00E015C7" w:rsidRPr="00E61C8B" w:rsidRDefault="00E015C7" w:rsidP="006C2959">
            <w:pPr>
              <w:widowControl/>
              <w:overflowPunct w:val="0"/>
              <w:ind w:right="-108"/>
              <w:jc w:val="center"/>
              <w:textAlignment w:val="baseline"/>
              <w:rPr>
                <w:b/>
                <w:sz w:val="14"/>
                <w:szCs w:val="14"/>
              </w:rPr>
            </w:pPr>
            <w:r w:rsidRPr="00E61C8B">
              <w:rPr>
                <w:b/>
                <w:sz w:val="14"/>
                <w:szCs w:val="14"/>
              </w:rPr>
              <w:t xml:space="preserve"> 201</w:t>
            </w:r>
            <w:r w:rsidR="006C2959" w:rsidRPr="00E61C8B">
              <w:rPr>
                <w:b/>
                <w:sz w:val="14"/>
                <w:szCs w:val="14"/>
              </w:rPr>
              <w:t>4</w:t>
            </w:r>
          </w:p>
        </w:tc>
        <w:tc>
          <w:tcPr>
            <w:tcW w:w="1256" w:type="dxa"/>
            <w:gridSpan w:val="4"/>
            <w:vMerge/>
            <w:vAlign w:val="bottom"/>
          </w:tcPr>
          <w:p w:rsidR="00E015C7" w:rsidRPr="00E61C8B" w:rsidRDefault="00E015C7" w:rsidP="00602F5D">
            <w:pPr>
              <w:widowControl/>
              <w:overflowPunct w:val="0"/>
              <w:ind w:right="-108"/>
              <w:jc w:val="center"/>
              <w:textAlignment w:val="baseline"/>
              <w:rPr>
                <w:b/>
                <w:sz w:val="14"/>
                <w:szCs w:val="14"/>
              </w:rPr>
            </w:pPr>
          </w:p>
        </w:tc>
        <w:tc>
          <w:tcPr>
            <w:tcW w:w="99"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60"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936" w:type="dxa"/>
            <w:gridSpan w:val="3"/>
            <w:vMerge/>
            <w:vAlign w:val="bottom"/>
          </w:tcPr>
          <w:p w:rsidR="00E015C7" w:rsidRPr="00E61C8B" w:rsidRDefault="00E015C7" w:rsidP="00602F5D">
            <w:pPr>
              <w:widowControl/>
              <w:overflowPunct w:val="0"/>
              <w:ind w:right="-108"/>
              <w:jc w:val="center"/>
              <w:textAlignment w:val="baseline"/>
              <w:rPr>
                <w:b/>
                <w:sz w:val="14"/>
                <w:szCs w:val="14"/>
              </w:rPr>
            </w:pPr>
          </w:p>
        </w:tc>
      </w:tr>
      <w:tr w:rsidR="00E015C7" w:rsidRPr="0053635E" w:rsidTr="006C2959">
        <w:trPr>
          <w:gridAfter w:val="1"/>
          <w:wAfter w:w="10" w:type="dxa"/>
          <w:jc w:val="center"/>
        </w:trPr>
        <w:tc>
          <w:tcPr>
            <w:tcW w:w="511"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1104"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977" w:type="dxa"/>
            <w:vAlign w:val="bottom"/>
          </w:tcPr>
          <w:p w:rsidR="00E015C7" w:rsidRPr="0053635E" w:rsidRDefault="00E015C7" w:rsidP="00602F5D">
            <w:pPr>
              <w:widowControl/>
              <w:overflowPunct w:val="0"/>
              <w:jc w:val="center"/>
              <w:textAlignment w:val="baseline"/>
              <w:rPr>
                <w:b/>
                <w:sz w:val="14"/>
                <w:szCs w:val="14"/>
                <w:highlight w:val="yellow"/>
              </w:rPr>
            </w:pPr>
          </w:p>
        </w:tc>
        <w:tc>
          <w:tcPr>
            <w:tcW w:w="810" w:type="dxa"/>
            <w:vAlign w:val="bottom"/>
          </w:tcPr>
          <w:p w:rsidR="00E015C7" w:rsidRPr="0053635E" w:rsidRDefault="00E015C7" w:rsidP="00602F5D">
            <w:pPr>
              <w:widowControl/>
              <w:overflowPunct w:val="0"/>
              <w:jc w:val="center"/>
              <w:textAlignment w:val="baseline"/>
              <w:rPr>
                <w:b/>
                <w:sz w:val="14"/>
                <w:szCs w:val="14"/>
                <w:highlight w:val="yellow"/>
              </w:rPr>
            </w:pPr>
          </w:p>
        </w:tc>
        <w:tc>
          <w:tcPr>
            <w:tcW w:w="661"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955" w:type="dxa"/>
            <w:gridSpan w:val="3"/>
            <w:vAlign w:val="bottom"/>
          </w:tcPr>
          <w:p w:rsidR="00E015C7" w:rsidRPr="0053635E" w:rsidRDefault="00E015C7" w:rsidP="00602F5D">
            <w:pPr>
              <w:widowControl/>
              <w:overflowPunct w:val="0"/>
              <w:jc w:val="center"/>
              <w:textAlignment w:val="baseline"/>
              <w:rPr>
                <w:b/>
                <w:sz w:val="14"/>
                <w:szCs w:val="14"/>
                <w:highlight w:val="yellow"/>
              </w:rPr>
            </w:pPr>
          </w:p>
        </w:tc>
        <w:tc>
          <w:tcPr>
            <w:tcW w:w="780" w:type="dxa"/>
            <w:vAlign w:val="bottom"/>
          </w:tcPr>
          <w:p w:rsidR="00E015C7" w:rsidRPr="00E61C8B" w:rsidRDefault="00E015C7" w:rsidP="00602F5D">
            <w:pPr>
              <w:widowControl/>
              <w:overflowPunct w:val="0"/>
              <w:jc w:val="center"/>
              <w:textAlignment w:val="baseline"/>
              <w:rPr>
                <w:b/>
                <w:sz w:val="14"/>
                <w:szCs w:val="14"/>
              </w:rPr>
            </w:pPr>
          </w:p>
        </w:tc>
        <w:tc>
          <w:tcPr>
            <w:tcW w:w="728" w:type="dxa"/>
            <w:gridSpan w:val="2"/>
            <w:vMerge/>
            <w:vAlign w:val="bottom"/>
          </w:tcPr>
          <w:p w:rsidR="00E015C7" w:rsidRPr="00E61C8B" w:rsidRDefault="00E015C7" w:rsidP="00602F5D">
            <w:pPr>
              <w:widowControl/>
              <w:overflowPunct w:val="0"/>
              <w:ind w:right="-108"/>
              <w:jc w:val="center"/>
              <w:textAlignment w:val="baseline"/>
              <w:rPr>
                <w:b/>
                <w:sz w:val="14"/>
                <w:szCs w:val="14"/>
              </w:rPr>
            </w:pPr>
          </w:p>
        </w:tc>
        <w:tc>
          <w:tcPr>
            <w:tcW w:w="1256" w:type="dxa"/>
            <w:gridSpan w:val="4"/>
            <w:vMerge/>
            <w:vAlign w:val="bottom"/>
          </w:tcPr>
          <w:p w:rsidR="00E015C7" w:rsidRPr="00E61C8B" w:rsidRDefault="00E015C7" w:rsidP="00602F5D">
            <w:pPr>
              <w:widowControl/>
              <w:overflowPunct w:val="0"/>
              <w:ind w:right="-108"/>
              <w:jc w:val="center"/>
              <w:textAlignment w:val="baseline"/>
              <w:rPr>
                <w:b/>
                <w:sz w:val="14"/>
                <w:szCs w:val="14"/>
              </w:rPr>
            </w:pPr>
          </w:p>
        </w:tc>
        <w:tc>
          <w:tcPr>
            <w:tcW w:w="99"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60"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936" w:type="dxa"/>
            <w:gridSpan w:val="3"/>
            <w:vMerge/>
            <w:vAlign w:val="bottom"/>
          </w:tcPr>
          <w:p w:rsidR="00E015C7" w:rsidRPr="00E61C8B" w:rsidRDefault="00E015C7" w:rsidP="00602F5D">
            <w:pPr>
              <w:widowControl/>
              <w:overflowPunct w:val="0"/>
              <w:ind w:right="-108"/>
              <w:jc w:val="center"/>
              <w:textAlignment w:val="baseline"/>
              <w:rPr>
                <w:b/>
                <w:sz w:val="14"/>
                <w:szCs w:val="14"/>
              </w:rPr>
            </w:pPr>
          </w:p>
        </w:tc>
      </w:tr>
      <w:tr w:rsidR="00E015C7" w:rsidRPr="0053635E" w:rsidTr="006C2959">
        <w:trPr>
          <w:gridAfter w:val="1"/>
          <w:wAfter w:w="10" w:type="dxa"/>
          <w:jc w:val="center"/>
        </w:trPr>
        <w:tc>
          <w:tcPr>
            <w:tcW w:w="511" w:type="dxa"/>
            <w:gridSpan w:val="2"/>
            <w:vAlign w:val="bottom"/>
          </w:tcPr>
          <w:p w:rsidR="00E015C7" w:rsidRPr="0053635E" w:rsidRDefault="00A64A0E" w:rsidP="00602F5D">
            <w:pPr>
              <w:widowControl/>
              <w:overflowPunct w:val="0"/>
              <w:jc w:val="center"/>
              <w:textAlignment w:val="baseline"/>
              <w:rPr>
                <w:b/>
                <w:sz w:val="14"/>
                <w:szCs w:val="14"/>
                <w:highlight w:val="yellow"/>
              </w:rPr>
            </w:pPr>
            <w:r>
              <w:rPr>
                <w:b/>
                <w:sz w:val="14"/>
                <w:szCs w:val="14"/>
                <w:highlight w:val="yellow"/>
              </w:rPr>
              <w:t xml:space="preserve"> </w:t>
            </w:r>
          </w:p>
        </w:tc>
        <w:tc>
          <w:tcPr>
            <w:tcW w:w="1104"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977" w:type="dxa"/>
            <w:vAlign w:val="bottom"/>
          </w:tcPr>
          <w:p w:rsidR="00E015C7" w:rsidRPr="0053635E" w:rsidRDefault="00E015C7" w:rsidP="00602F5D">
            <w:pPr>
              <w:widowControl/>
              <w:overflowPunct w:val="0"/>
              <w:jc w:val="center"/>
              <w:textAlignment w:val="baseline"/>
              <w:rPr>
                <w:b/>
                <w:sz w:val="14"/>
                <w:szCs w:val="14"/>
                <w:highlight w:val="yellow"/>
              </w:rPr>
            </w:pPr>
          </w:p>
        </w:tc>
        <w:tc>
          <w:tcPr>
            <w:tcW w:w="810" w:type="dxa"/>
            <w:vAlign w:val="bottom"/>
          </w:tcPr>
          <w:p w:rsidR="00E015C7" w:rsidRPr="0053635E" w:rsidRDefault="00E015C7" w:rsidP="00602F5D">
            <w:pPr>
              <w:widowControl/>
              <w:overflowPunct w:val="0"/>
              <w:jc w:val="center"/>
              <w:textAlignment w:val="baseline"/>
              <w:rPr>
                <w:b/>
                <w:sz w:val="14"/>
                <w:szCs w:val="14"/>
                <w:highlight w:val="yellow"/>
              </w:rPr>
            </w:pPr>
          </w:p>
        </w:tc>
        <w:tc>
          <w:tcPr>
            <w:tcW w:w="661" w:type="dxa"/>
            <w:gridSpan w:val="2"/>
            <w:vAlign w:val="bottom"/>
          </w:tcPr>
          <w:p w:rsidR="00E015C7" w:rsidRPr="0053635E" w:rsidRDefault="00E015C7" w:rsidP="00602F5D">
            <w:pPr>
              <w:widowControl/>
              <w:overflowPunct w:val="0"/>
              <w:jc w:val="center"/>
              <w:textAlignment w:val="baseline"/>
              <w:rPr>
                <w:b/>
                <w:sz w:val="14"/>
                <w:szCs w:val="14"/>
                <w:highlight w:val="yellow"/>
              </w:rPr>
            </w:pPr>
          </w:p>
        </w:tc>
        <w:tc>
          <w:tcPr>
            <w:tcW w:w="955" w:type="dxa"/>
            <w:gridSpan w:val="3"/>
            <w:vAlign w:val="bottom"/>
          </w:tcPr>
          <w:p w:rsidR="00E015C7" w:rsidRPr="0053635E" w:rsidRDefault="00E015C7" w:rsidP="00602F5D">
            <w:pPr>
              <w:widowControl/>
              <w:overflowPunct w:val="0"/>
              <w:jc w:val="center"/>
              <w:textAlignment w:val="baseline"/>
              <w:rPr>
                <w:b/>
                <w:sz w:val="14"/>
                <w:szCs w:val="14"/>
                <w:highlight w:val="yellow"/>
              </w:rPr>
            </w:pPr>
          </w:p>
        </w:tc>
        <w:tc>
          <w:tcPr>
            <w:tcW w:w="780" w:type="dxa"/>
            <w:vAlign w:val="bottom"/>
          </w:tcPr>
          <w:p w:rsidR="00E015C7" w:rsidRPr="00E61C8B" w:rsidRDefault="00E015C7" w:rsidP="00602F5D">
            <w:pPr>
              <w:widowControl/>
              <w:overflowPunct w:val="0"/>
              <w:jc w:val="center"/>
              <w:textAlignment w:val="baseline"/>
              <w:rPr>
                <w:b/>
                <w:sz w:val="14"/>
                <w:szCs w:val="14"/>
              </w:rPr>
            </w:pPr>
          </w:p>
        </w:tc>
        <w:tc>
          <w:tcPr>
            <w:tcW w:w="728" w:type="dxa"/>
            <w:gridSpan w:val="2"/>
            <w:vMerge/>
            <w:vAlign w:val="bottom"/>
          </w:tcPr>
          <w:p w:rsidR="00E015C7" w:rsidRPr="00E61C8B" w:rsidRDefault="00E015C7" w:rsidP="00602F5D">
            <w:pPr>
              <w:widowControl/>
              <w:overflowPunct w:val="0"/>
              <w:ind w:right="-108"/>
              <w:jc w:val="center"/>
              <w:textAlignment w:val="baseline"/>
              <w:rPr>
                <w:b/>
                <w:sz w:val="14"/>
                <w:szCs w:val="14"/>
              </w:rPr>
            </w:pPr>
          </w:p>
        </w:tc>
        <w:tc>
          <w:tcPr>
            <w:tcW w:w="1256" w:type="dxa"/>
            <w:gridSpan w:val="4"/>
            <w:vMerge/>
            <w:vAlign w:val="bottom"/>
          </w:tcPr>
          <w:p w:rsidR="00E015C7" w:rsidRPr="00E61C8B" w:rsidRDefault="00E015C7" w:rsidP="00602F5D">
            <w:pPr>
              <w:widowControl/>
              <w:overflowPunct w:val="0"/>
              <w:ind w:right="-108"/>
              <w:jc w:val="center"/>
              <w:textAlignment w:val="baseline"/>
              <w:rPr>
                <w:b/>
                <w:sz w:val="14"/>
                <w:szCs w:val="14"/>
              </w:rPr>
            </w:pPr>
          </w:p>
        </w:tc>
        <w:tc>
          <w:tcPr>
            <w:tcW w:w="99"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60"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936" w:type="dxa"/>
            <w:gridSpan w:val="3"/>
            <w:vMerge/>
            <w:vAlign w:val="bottom"/>
          </w:tcPr>
          <w:p w:rsidR="00E015C7" w:rsidRPr="00E61C8B" w:rsidRDefault="00E015C7" w:rsidP="00602F5D">
            <w:pPr>
              <w:widowControl/>
              <w:overflowPunct w:val="0"/>
              <w:ind w:right="-108"/>
              <w:jc w:val="center"/>
              <w:textAlignment w:val="baseline"/>
              <w:rPr>
                <w:b/>
                <w:sz w:val="14"/>
                <w:szCs w:val="14"/>
              </w:rPr>
            </w:pPr>
          </w:p>
        </w:tc>
      </w:tr>
      <w:tr w:rsidR="00E015C7" w:rsidRPr="0053635E" w:rsidTr="006C2959">
        <w:trPr>
          <w:gridAfter w:val="1"/>
          <w:wAfter w:w="10" w:type="dxa"/>
          <w:jc w:val="center"/>
        </w:trPr>
        <w:tc>
          <w:tcPr>
            <w:tcW w:w="511" w:type="dxa"/>
            <w:gridSpan w:val="2"/>
            <w:vMerge w:val="restart"/>
            <w:vAlign w:val="bottom"/>
          </w:tcPr>
          <w:p w:rsidR="00E015C7" w:rsidRPr="006C2959" w:rsidRDefault="00E015C7" w:rsidP="00602F5D">
            <w:pPr>
              <w:widowControl/>
              <w:overflowPunct w:val="0"/>
              <w:jc w:val="center"/>
              <w:textAlignment w:val="baseline"/>
              <w:rPr>
                <w:b/>
                <w:sz w:val="14"/>
                <w:szCs w:val="14"/>
              </w:rPr>
            </w:pPr>
            <w:r w:rsidRPr="006C2959">
              <w:rPr>
                <w:b/>
                <w:sz w:val="14"/>
                <w:szCs w:val="14"/>
              </w:rPr>
              <w:t>Hedged Item</w:t>
            </w:r>
          </w:p>
        </w:tc>
        <w:tc>
          <w:tcPr>
            <w:tcW w:w="1104" w:type="dxa"/>
            <w:gridSpan w:val="2"/>
            <w:vAlign w:val="bottom"/>
          </w:tcPr>
          <w:p w:rsidR="00E015C7" w:rsidRPr="006C2959" w:rsidRDefault="00E015C7" w:rsidP="00602F5D">
            <w:pPr>
              <w:widowControl/>
              <w:overflowPunct w:val="0"/>
              <w:jc w:val="center"/>
              <w:textAlignment w:val="baseline"/>
              <w:rPr>
                <w:b/>
                <w:sz w:val="14"/>
                <w:szCs w:val="14"/>
              </w:rPr>
            </w:pPr>
          </w:p>
        </w:tc>
        <w:tc>
          <w:tcPr>
            <w:tcW w:w="977" w:type="dxa"/>
            <w:vAlign w:val="bottom"/>
          </w:tcPr>
          <w:p w:rsidR="00E015C7" w:rsidRPr="006C2959" w:rsidRDefault="00E015C7" w:rsidP="00602F5D">
            <w:pPr>
              <w:widowControl/>
              <w:overflowPunct w:val="0"/>
              <w:jc w:val="center"/>
              <w:textAlignment w:val="baseline"/>
              <w:rPr>
                <w:b/>
                <w:sz w:val="14"/>
                <w:szCs w:val="14"/>
              </w:rPr>
            </w:pPr>
          </w:p>
        </w:tc>
        <w:tc>
          <w:tcPr>
            <w:tcW w:w="810" w:type="dxa"/>
            <w:vAlign w:val="bottom"/>
          </w:tcPr>
          <w:p w:rsidR="00E015C7" w:rsidRPr="006C2959" w:rsidRDefault="00E015C7" w:rsidP="00602F5D">
            <w:pPr>
              <w:widowControl/>
              <w:overflowPunct w:val="0"/>
              <w:jc w:val="center"/>
              <w:textAlignment w:val="baseline"/>
              <w:rPr>
                <w:b/>
                <w:sz w:val="14"/>
                <w:szCs w:val="14"/>
              </w:rPr>
            </w:pPr>
          </w:p>
        </w:tc>
        <w:tc>
          <w:tcPr>
            <w:tcW w:w="661" w:type="dxa"/>
            <w:gridSpan w:val="2"/>
            <w:vAlign w:val="bottom"/>
          </w:tcPr>
          <w:p w:rsidR="00E015C7" w:rsidRPr="006C2959" w:rsidRDefault="00E015C7" w:rsidP="00602F5D">
            <w:pPr>
              <w:widowControl/>
              <w:overflowPunct w:val="0"/>
              <w:jc w:val="center"/>
              <w:textAlignment w:val="baseline"/>
              <w:rPr>
                <w:b/>
                <w:sz w:val="14"/>
                <w:szCs w:val="14"/>
              </w:rPr>
            </w:pPr>
          </w:p>
        </w:tc>
        <w:tc>
          <w:tcPr>
            <w:tcW w:w="955" w:type="dxa"/>
            <w:gridSpan w:val="3"/>
            <w:vMerge w:val="restart"/>
            <w:vAlign w:val="bottom"/>
          </w:tcPr>
          <w:p w:rsidR="00E015C7" w:rsidRPr="006C2959" w:rsidRDefault="00E015C7" w:rsidP="00602F5D">
            <w:pPr>
              <w:widowControl/>
              <w:overflowPunct w:val="0"/>
              <w:jc w:val="center"/>
              <w:textAlignment w:val="baseline"/>
              <w:rPr>
                <w:b/>
                <w:sz w:val="14"/>
                <w:szCs w:val="14"/>
              </w:rPr>
            </w:pPr>
            <w:r w:rsidRPr="006C2959">
              <w:rPr>
                <w:b/>
                <w:sz w:val="14"/>
                <w:szCs w:val="14"/>
              </w:rPr>
              <w:t>Termination De-designation Date</w:t>
            </w:r>
          </w:p>
        </w:tc>
        <w:tc>
          <w:tcPr>
            <w:tcW w:w="780" w:type="dxa"/>
            <w:vAlign w:val="bottom"/>
          </w:tcPr>
          <w:p w:rsidR="00E015C7" w:rsidRPr="00E61C8B" w:rsidRDefault="00E015C7" w:rsidP="00602F5D">
            <w:pPr>
              <w:widowControl/>
              <w:overflowPunct w:val="0"/>
              <w:jc w:val="center"/>
              <w:textAlignment w:val="baseline"/>
              <w:rPr>
                <w:b/>
                <w:sz w:val="14"/>
                <w:szCs w:val="14"/>
              </w:rPr>
            </w:pPr>
          </w:p>
        </w:tc>
        <w:tc>
          <w:tcPr>
            <w:tcW w:w="728" w:type="dxa"/>
            <w:gridSpan w:val="2"/>
            <w:vMerge/>
            <w:vAlign w:val="bottom"/>
          </w:tcPr>
          <w:p w:rsidR="00E015C7" w:rsidRPr="00E61C8B" w:rsidRDefault="00E015C7" w:rsidP="00602F5D">
            <w:pPr>
              <w:widowControl/>
              <w:overflowPunct w:val="0"/>
              <w:ind w:right="-108"/>
              <w:jc w:val="center"/>
              <w:textAlignment w:val="baseline"/>
              <w:rPr>
                <w:b/>
                <w:sz w:val="14"/>
                <w:szCs w:val="14"/>
              </w:rPr>
            </w:pPr>
          </w:p>
        </w:tc>
        <w:tc>
          <w:tcPr>
            <w:tcW w:w="1256" w:type="dxa"/>
            <w:gridSpan w:val="4"/>
            <w:vMerge/>
            <w:vAlign w:val="bottom"/>
          </w:tcPr>
          <w:p w:rsidR="00E015C7" w:rsidRPr="00E61C8B" w:rsidRDefault="00E015C7" w:rsidP="00602F5D">
            <w:pPr>
              <w:widowControl/>
              <w:overflowPunct w:val="0"/>
              <w:ind w:right="-108"/>
              <w:jc w:val="center"/>
              <w:textAlignment w:val="baseline"/>
              <w:rPr>
                <w:b/>
                <w:sz w:val="14"/>
                <w:szCs w:val="14"/>
              </w:rPr>
            </w:pPr>
          </w:p>
        </w:tc>
        <w:tc>
          <w:tcPr>
            <w:tcW w:w="99"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60" w:type="dxa"/>
            <w:gridSpan w:val="3"/>
            <w:vMerge/>
          </w:tcPr>
          <w:p w:rsidR="00E015C7" w:rsidRPr="0053635E" w:rsidRDefault="00E015C7" w:rsidP="00602F5D">
            <w:pPr>
              <w:widowControl/>
              <w:overflowPunct w:val="0"/>
              <w:ind w:right="-108"/>
              <w:jc w:val="center"/>
              <w:textAlignment w:val="baseline"/>
              <w:rPr>
                <w:b/>
                <w:sz w:val="14"/>
                <w:szCs w:val="14"/>
                <w:highlight w:val="yellow"/>
              </w:rPr>
            </w:pPr>
          </w:p>
        </w:tc>
        <w:tc>
          <w:tcPr>
            <w:tcW w:w="936" w:type="dxa"/>
            <w:gridSpan w:val="3"/>
            <w:vMerge/>
            <w:vAlign w:val="bottom"/>
          </w:tcPr>
          <w:p w:rsidR="00E015C7" w:rsidRPr="00E61C8B" w:rsidRDefault="00E015C7" w:rsidP="00602F5D">
            <w:pPr>
              <w:widowControl/>
              <w:overflowPunct w:val="0"/>
              <w:ind w:right="-108"/>
              <w:jc w:val="center"/>
              <w:textAlignment w:val="baseline"/>
              <w:rPr>
                <w:b/>
                <w:sz w:val="14"/>
                <w:szCs w:val="14"/>
              </w:rPr>
            </w:pPr>
          </w:p>
        </w:tc>
      </w:tr>
      <w:tr w:rsidR="00E015C7" w:rsidRPr="0053635E" w:rsidTr="006C2959">
        <w:trPr>
          <w:gridAfter w:val="1"/>
          <w:wAfter w:w="10" w:type="dxa"/>
          <w:trHeight w:val="161"/>
          <w:jc w:val="center"/>
        </w:trPr>
        <w:tc>
          <w:tcPr>
            <w:tcW w:w="511" w:type="dxa"/>
            <w:gridSpan w:val="2"/>
            <w:vMerge/>
            <w:tcBorders>
              <w:bottom w:val="nil"/>
            </w:tcBorders>
            <w:vAlign w:val="bottom"/>
          </w:tcPr>
          <w:p w:rsidR="00E015C7" w:rsidRPr="006C2959" w:rsidRDefault="00E015C7" w:rsidP="00602F5D">
            <w:pPr>
              <w:widowControl/>
              <w:overflowPunct w:val="0"/>
              <w:jc w:val="center"/>
              <w:textAlignment w:val="baseline"/>
              <w:rPr>
                <w:b/>
                <w:sz w:val="14"/>
                <w:szCs w:val="14"/>
              </w:rPr>
            </w:pPr>
          </w:p>
        </w:tc>
        <w:tc>
          <w:tcPr>
            <w:tcW w:w="1104" w:type="dxa"/>
            <w:gridSpan w:val="2"/>
            <w:vMerge w:val="restart"/>
            <w:tcBorders>
              <w:bottom w:val="nil"/>
            </w:tcBorders>
            <w:vAlign w:val="bottom"/>
          </w:tcPr>
          <w:p w:rsidR="00E015C7" w:rsidRPr="006C2959" w:rsidRDefault="00E015C7" w:rsidP="00602F5D">
            <w:pPr>
              <w:widowControl/>
              <w:overflowPunct w:val="0"/>
              <w:jc w:val="center"/>
              <w:textAlignment w:val="baseline"/>
              <w:rPr>
                <w:b/>
                <w:sz w:val="14"/>
                <w:szCs w:val="14"/>
              </w:rPr>
            </w:pPr>
            <w:r w:rsidRPr="006C2959">
              <w:rPr>
                <w:b/>
                <w:sz w:val="14"/>
                <w:szCs w:val="14"/>
              </w:rPr>
              <w:t>Original      Maximum    Notional        Amount</w:t>
            </w:r>
          </w:p>
        </w:tc>
        <w:tc>
          <w:tcPr>
            <w:tcW w:w="977" w:type="dxa"/>
            <w:vMerge w:val="restart"/>
            <w:tcBorders>
              <w:bottom w:val="nil"/>
            </w:tcBorders>
            <w:vAlign w:val="bottom"/>
          </w:tcPr>
          <w:p w:rsidR="00E015C7" w:rsidRPr="006C2959" w:rsidRDefault="00E015C7" w:rsidP="00602F5D">
            <w:pPr>
              <w:widowControl/>
              <w:overflowPunct w:val="0"/>
              <w:jc w:val="center"/>
              <w:textAlignment w:val="baseline"/>
              <w:rPr>
                <w:b/>
                <w:sz w:val="14"/>
                <w:szCs w:val="14"/>
              </w:rPr>
            </w:pPr>
            <w:r w:rsidRPr="006C2959">
              <w:rPr>
                <w:b/>
                <w:sz w:val="14"/>
                <w:szCs w:val="14"/>
              </w:rPr>
              <w:t>Effective       Date</w:t>
            </w:r>
          </w:p>
        </w:tc>
        <w:tc>
          <w:tcPr>
            <w:tcW w:w="810" w:type="dxa"/>
            <w:vMerge w:val="restart"/>
            <w:tcBorders>
              <w:bottom w:val="nil"/>
            </w:tcBorders>
            <w:vAlign w:val="bottom"/>
          </w:tcPr>
          <w:p w:rsidR="00E015C7" w:rsidRPr="006C2959" w:rsidRDefault="00E015C7" w:rsidP="00602F5D">
            <w:pPr>
              <w:widowControl/>
              <w:overflowPunct w:val="0"/>
              <w:jc w:val="center"/>
              <w:textAlignment w:val="baseline"/>
              <w:rPr>
                <w:b/>
                <w:sz w:val="14"/>
                <w:szCs w:val="14"/>
              </w:rPr>
            </w:pPr>
            <w:r w:rsidRPr="006C2959">
              <w:rPr>
                <w:b/>
                <w:sz w:val="14"/>
                <w:szCs w:val="14"/>
              </w:rPr>
              <w:t>Maturity Date</w:t>
            </w:r>
          </w:p>
        </w:tc>
        <w:tc>
          <w:tcPr>
            <w:tcW w:w="661" w:type="dxa"/>
            <w:gridSpan w:val="2"/>
            <w:vMerge w:val="restart"/>
            <w:tcBorders>
              <w:bottom w:val="nil"/>
            </w:tcBorders>
            <w:vAlign w:val="bottom"/>
          </w:tcPr>
          <w:p w:rsidR="00E015C7" w:rsidRPr="006C2959" w:rsidRDefault="00E015C7" w:rsidP="00602F5D">
            <w:pPr>
              <w:widowControl/>
              <w:overflowPunct w:val="0"/>
              <w:jc w:val="center"/>
              <w:textAlignment w:val="baseline"/>
              <w:rPr>
                <w:b/>
                <w:sz w:val="14"/>
                <w:szCs w:val="14"/>
              </w:rPr>
            </w:pPr>
            <w:r w:rsidRPr="006C2959">
              <w:rPr>
                <w:b/>
                <w:sz w:val="14"/>
                <w:szCs w:val="14"/>
              </w:rPr>
              <w:t>Fixed    Rate %</w:t>
            </w:r>
          </w:p>
        </w:tc>
        <w:tc>
          <w:tcPr>
            <w:tcW w:w="955" w:type="dxa"/>
            <w:gridSpan w:val="3"/>
            <w:vMerge/>
            <w:tcBorders>
              <w:bottom w:val="nil"/>
            </w:tcBorders>
            <w:vAlign w:val="bottom"/>
          </w:tcPr>
          <w:p w:rsidR="00E015C7" w:rsidRPr="006C2959" w:rsidRDefault="00E015C7" w:rsidP="00602F5D">
            <w:pPr>
              <w:widowControl/>
              <w:overflowPunct w:val="0"/>
              <w:jc w:val="center"/>
              <w:textAlignment w:val="baseline"/>
              <w:rPr>
                <w:b/>
                <w:sz w:val="14"/>
                <w:szCs w:val="14"/>
              </w:rPr>
            </w:pPr>
          </w:p>
        </w:tc>
        <w:tc>
          <w:tcPr>
            <w:tcW w:w="780" w:type="dxa"/>
            <w:vMerge w:val="restart"/>
            <w:tcBorders>
              <w:bottom w:val="nil"/>
            </w:tcBorders>
            <w:vAlign w:val="bottom"/>
          </w:tcPr>
          <w:p w:rsidR="00E015C7" w:rsidRPr="00E61C8B" w:rsidRDefault="00E015C7" w:rsidP="00602F5D">
            <w:pPr>
              <w:widowControl/>
              <w:overflowPunct w:val="0"/>
              <w:jc w:val="center"/>
              <w:textAlignment w:val="baseline"/>
              <w:rPr>
                <w:b/>
                <w:sz w:val="14"/>
                <w:szCs w:val="14"/>
              </w:rPr>
            </w:pPr>
            <w:r w:rsidRPr="00E61C8B">
              <w:rPr>
                <w:b/>
                <w:sz w:val="14"/>
                <w:szCs w:val="14"/>
              </w:rPr>
              <w:t xml:space="preserve">Deferred </w:t>
            </w:r>
          </w:p>
          <w:p w:rsidR="00E015C7" w:rsidRPr="00E61C8B" w:rsidRDefault="00E015C7" w:rsidP="00602F5D">
            <w:pPr>
              <w:widowControl/>
              <w:overflowPunct w:val="0"/>
              <w:jc w:val="center"/>
              <w:textAlignment w:val="baseline"/>
              <w:rPr>
                <w:b/>
                <w:sz w:val="14"/>
                <w:szCs w:val="14"/>
              </w:rPr>
            </w:pPr>
            <w:r w:rsidRPr="00E61C8B">
              <w:rPr>
                <w:b/>
                <w:sz w:val="14"/>
                <w:szCs w:val="14"/>
              </w:rPr>
              <w:t>Loss</w:t>
            </w:r>
          </w:p>
          <w:p w:rsidR="00E015C7" w:rsidRPr="00E61C8B" w:rsidRDefault="00E015C7" w:rsidP="00602F5D">
            <w:pPr>
              <w:widowControl/>
              <w:overflowPunct w:val="0"/>
              <w:jc w:val="center"/>
              <w:textAlignment w:val="baseline"/>
              <w:rPr>
                <w:b/>
                <w:sz w:val="14"/>
                <w:szCs w:val="14"/>
              </w:rPr>
            </w:pPr>
            <w:r w:rsidRPr="00E61C8B">
              <w:rPr>
                <w:b/>
                <w:sz w:val="14"/>
                <w:szCs w:val="14"/>
              </w:rPr>
              <w:t xml:space="preserve"> Upon Termination</w:t>
            </w:r>
          </w:p>
        </w:tc>
        <w:tc>
          <w:tcPr>
            <w:tcW w:w="728" w:type="dxa"/>
            <w:gridSpan w:val="2"/>
            <w:vMerge/>
            <w:tcBorders>
              <w:bottom w:val="nil"/>
            </w:tcBorders>
            <w:vAlign w:val="bottom"/>
          </w:tcPr>
          <w:p w:rsidR="00E015C7" w:rsidRPr="00E61C8B" w:rsidRDefault="00E015C7" w:rsidP="00602F5D">
            <w:pPr>
              <w:widowControl/>
              <w:overflowPunct w:val="0"/>
              <w:ind w:right="-108"/>
              <w:jc w:val="center"/>
              <w:textAlignment w:val="baseline"/>
              <w:rPr>
                <w:b/>
                <w:sz w:val="14"/>
                <w:szCs w:val="14"/>
              </w:rPr>
            </w:pPr>
          </w:p>
        </w:tc>
        <w:tc>
          <w:tcPr>
            <w:tcW w:w="1256" w:type="dxa"/>
            <w:gridSpan w:val="4"/>
            <w:vMerge/>
            <w:tcBorders>
              <w:bottom w:val="nil"/>
            </w:tcBorders>
            <w:vAlign w:val="bottom"/>
          </w:tcPr>
          <w:p w:rsidR="00E015C7" w:rsidRPr="00E61C8B" w:rsidRDefault="00E015C7" w:rsidP="00602F5D">
            <w:pPr>
              <w:widowControl/>
              <w:overflowPunct w:val="0"/>
              <w:ind w:right="-108"/>
              <w:jc w:val="center"/>
              <w:textAlignment w:val="baseline"/>
              <w:rPr>
                <w:b/>
                <w:sz w:val="14"/>
                <w:szCs w:val="14"/>
              </w:rPr>
            </w:pPr>
          </w:p>
        </w:tc>
        <w:tc>
          <w:tcPr>
            <w:tcW w:w="99" w:type="dxa"/>
            <w:gridSpan w:val="3"/>
            <w:vMerge/>
            <w:tcBorders>
              <w:bottom w:val="nil"/>
            </w:tcBorders>
          </w:tcPr>
          <w:p w:rsidR="00E015C7" w:rsidRPr="0053635E" w:rsidRDefault="00E015C7" w:rsidP="00602F5D">
            <w:pPr>
              <w:widowControl/>
              <w:overflowPunct w:val="0"/>
              <w:ind w:right="-108"/>
              <w:jc w:val="center"/>
              <w:textAlignment w:val="baseline"/>
              <w:rPr>
                <w:b/>
                <w:sz w:val="14"/>
                <w:szCs w:val="14"/>
                <w:highlight w:val="yellow"/>
              </w:rPr>
            </w:pPr>
          </w:p>
        </w:tc>
        <w:tc>
          <w:tcPr>
            <w:tcW w:w="60" w:type="dxa"/>
            <w:gridSpan w:val="3"/>
            <w:vMerge/>
            <w:tcBorders>
              <w:bottom w:val="nil"/>
            </w:tcBorders>
          </w:tcPr>
          <w:p w:rsidR="00E015C7" w:rsidRPr="0053635E" w:rsidRDefault="00E015C7" w:rsidP="00602F5D">
            <w:pPr>
              <w:widowControl/>
              <w:overflowPunct w:val="0"/>
              <w:ind w:right="-108"/>
              <w:jc w:val="center"/>
              <w:textAlignment w:val="baseline"/>
              <w:rPr>
                <w:b/>
                <w:sz w:val="14"/>
                <w:szCs w:val="14"/>
                <w:highlight w:val="yellow"/>
              </w:rPr>
            </w:pPr>
          </w:p>
        </w:tc>
        <w:tc>
          <w:tcPr>
            <w:tcW w:w="936" w:type="dxa"/>
            <w:gridSpan w:val="3"/>
            <w:vMerge/>
            <w:tcBorders>
              <w:bottom w:val="nil"/>
            </w:tcBorders>
            <w:vAlign w:val="bottom"/>
          </w:tcPr>
          <w:p w:rsidR="00E015C7" w:rsidRPr="00E61C8B" w:rsidRDefault="00E015C7" w:rsidP="00602F5D">
            <w:pPr>
              <w:widowControl/>
              <w:overflowPunct w:val="0"/>
              <w:ind w:right="-108"/>
              <w:jc w:val="center"/>
              <w:textAlignment w:val="baseline"/>
              <w:rPr>
                <w:b/>
                <w:sz w:val="14"/>
                <w:szCs w:val="14"/>
              </w:rPr>
            </w:pPr>
          </w:p>
        </w:tc>
      </w:tr>
      <w:tr w:rsidR="00602F5D" w:rsidRPr="0053635E" w:rsidTr="006C2959">
        <w:trPr>
          <w:gridAfter w:val="1"/>
          <w:wAfter w:w="10" w:type="dxa"/>
          <w:jc w:val="center"/>
        </w:trPr>
        <w:tc>
          <w:tcPr>
            <w:tcW w:w="511" w:type="dxa"/>
            <w:gridSpan w:val="2"/>
            <w:vMerge/>
            <w:vAlign w:val="bottom"/>
          </w:tcPr>
          <w:p w:rsidR="00602F5D" w:rsidRPr="006C2959" w:rsidRDefault="00602F5D" w:rsidP="00602F5D">
            <w:pPr>
              <w:widowControl/>
              <w:overflowPunct w:val="0"/>
              <w:jc w:val="center"/>
              <w:textAlignment w:val="baseline"/>
              <w:rPr>
                <w:b/>
                <w:sz w:val="14"/>
                <w:szCs w:val="14"/>
              </w:rPr>
            </w:pPr>
          </w:p>
        </w:tc>
        <w:tc>
          <w:tcPr>
            <w:tcW w:w="1104" w:type="dxa"/>
            <w:gridSpan w:val="2"/>
            <w:vMerge/>
            <w:vAlign w:val="bottom"/>
          </w:tcPr>
          <w:p w:rsidR="00602F5D" w:rsidRPr="006C2959" w:rsidRDefault="00602F5D" w:rsidP="00602F5D">
            <w:pPr>
              <w:widowControl/>
              <w:overflowPunct w:val="0"/>
              <w:jc w:val="center"/>
              <w:textAlignment w:val="baseline"/>
              <w:rPr>
                <w:b/>
                <w:sz w:val="14"/>
                <w:szCs w:val="14"/>
              </w:rPr>
            </w:pPr>
          </w:p>
        </w:tc>
        <w:tc>
          <w:tcPr>
            <w:tcW w:w="977" w:type="dxa"/>
            <w:vMerge/>
            <w:vAlign w:val="bottom"/>
          </w:tcPr>
          <w:p w:rsidR="00602F5D" w:rsidRPr="006C2959" w:rsidRDefault="00602F5D" w:rsidP="00602F5D">
            <w:pPr>
              <w:widowControl/>
              <w:overflowPunct w:val="0"/>
              <w:jc w:val="center"/>
              <w:textAlignment w:val="baseline"/>
              <w:rPr>
                <w:b/>
                <w:sz w:val="14"/>
                <w:szCs w:val="14"/>
              </w:rPr>
            </w:pPr>
          </w:p>
        </w:tc>
        <w:tc>
          <w:tcPr>
            <w:tcW w:w="810" w:type="dxa"/>
            <w:vMerge/>
            <w:vAlign w:val="bottom"/>
          </w:tcPr>
          <w:p w:rsidR="00602F5D" w:rsidRPr="006C2959" w:rsidRDefault="00602F5D" w:rsidP="00602F5D">
            <w:pPr>
              <w:widowControl/>
              <w:overflowPunct w:val="0"/>
              <w:jc w:val="center"/>
              <w:textAlignment w:val="baseline"/>
              <w:rPr>
                <w:b/>
                <w:sz w:val="14"/>
                <w:szCs w:val="14"/>
              </w:rPr>
            </w:pPr>
          </w:p>
        </w:tc>
        <w:tc>
          <w:tcPr>
            <w:tcW w:w="661" w:type="dxa"/>
            <w:gridSpan w:val="2"/>
            <w:vMerge/>
            <w:vAlign w:val="bottom"/>
          </w:tcPr>
          <w:p w:rsidR="00602F5D" w:rsidRPr="006C2959" w:rsidRDefault="00602F5D" w:rsidP="00602F5D">
            <w:pPr>
              <w:widowControl/>
              <w:overflowPunct w:val="0"/>
              <w:jc w:val="center"/>
              <w:textAlignment w:val="baseline"/>
              <w:rPr>
                <w:b/>
                <w:sz w:val="14"/>
                <w:szCs w:val="14"/>
              </w:rPr>
            </w:pPr>
          </w:p>
        </w:tc>
        <w:tc>
          <w:tcPr>
            <w:tcW w:w="955" w:type="dxa"/>
            <w:gridSpan w:val="3"/>
            <w:vMerge/>
            <w:vAlign w:val="bottom"/>
          </w:tcPr>
          <w:p w:rsidR="00602F5D" w:rsidRPr="006C2959" w:rsidRDefault="00602F5D" w:rsidP="00602F5D">
            <w:pPr>
              <w:widowControl/>
              <w:overflowPunct w:val="0"/>
              <w:jc w:val="center"/>
              <w:textAlignment w:val="baseline"/>
              <w:rPr>
                <w:b/>
                <w:sz w:val="14"/>
                <w:szCs w:val="14"/>
              </w:rPr>
            </w:pPr>
          </w:p>
        </w:tc>
        <w:tc>
          <w:tcPr>
            <w:tcW w:w="780" w:type="dxa"/>
            <w:vMerge/>
            <w:vAlign w:val="bottom"/>
          </w:tcPr>
          <w:p w:rsidR="00602F5D" w:rsidRPr="0053635E" w:rsidRDefault="00602F5D" w:rsidP="00602F5D">
            <w:pPr>
              <w:widowControl/>
              <w:overflowPunct w:val="0"/>
              <w:jc w:val="center"/>
              <w:textAlignment w:val="baseline"/>
              <w:rPr>
                <w:b/>
                <w:sz w:val="14"/>
                <w:szCs w:val="14"/>
                <w:highlight w:val="yellow"/>
              </w:rPr>
            </w:pPr>
          </w:p>
        </w:tc>
        <w:tc>
          <w:tcPr>
            <w:tcW w:w="728" w:type="dxa"/>
            <w:gridSpan w:val="2"/>
            <w:vMerge/>
            <w:vAlign w:val="bottom"/>
          </w:tcPr>
          <w:p w:rsidR="00602F5D" w:rsidRPr="0053635E" w:rsidRDefault="00602F5D" w:rsidP="00602F5D">
            <w:pPr>
              <w:widowControl/>
              <w:overflowPunct w:val="0"/>
              <w:ind w:right="-108"/>
              <w:jc w:val="center"/>
              <w:textAlignment w:val="baseline"/>
              <w:rPr>
                <w:b/>
                <w:sz w:val="14"/>
                <w:szCs w:val="14"/>
                <w:highlight w:val="yellow"/>
              </w:rPr>
            </w:pPr>
          </w:p>
        </w:tc>
        <w:tc>
          <w:tcPr>
            <w:tcW w:w="675" w:type="dxa"/>
            <w:gridSpan w:val="2"/>
            <w:tcBorders>
              <w:top w:val="single" w:sz="4" w:space="0" w:color="auto"/>
            </w:tcBorders>
            <w:vAlign w:val="bottom"/>
          </w:tcPr>
          <w:p w:rsidR="00602F5D" w:rsidRPr="00E61C8B" w:rsidRDefault="00602F5D" w:rsidP="006C2959">
            <w:pPr>
              <w:widowControl/>
              <w:overflowPunct w:val="0"/>
              <w:ind w:right="-108"/>
              <w:jc w:val="center"/>
              <w:textAlignment w:val="baseline"/>
              <w:rPr>
                <w:b/>
                <w:sz w:val="14"/>
                <w:szCs w:val="14"/>
              </w:rPr>
            </w:pPr>
            <w:r w:rsidRPr="00E61C8B">
              <w:rPr>
                <w:b/>
                <w:sz w:val="14"/>
                <w:szCs w:val="14"/>
              </w:rPr>
              <w:t xml:space="preserve">       201</w:t>
            </w:r>
            <w:r w:rsidR="006C2959" w:rsidRPr="00E61C8B">
              <w:rPr>
                <w:b/>
                <w:sz w:val="14"/>
                <w:szCs w:val="14"/>
              </w:rPr>
              <w:t>4</w:t>
            </w:r>
          </w:p>
        </w:tc>
        <w:tc>
          <w:tcPr>
            <w:tcW w:w="581" w:type="dxa"/>
            <w:gridSpan w:val="2"/>
            <w:tcBorders>
              <w:top w:val="single" w:sz="4" w:space="0" w:color="auto"/>
              <w:bottom w:val="single" w:sz="4" w:space="0" w:color="auto"/>
            </w:tcBorders>
          </w:tcPr>
          <w:p w:rsidR="00602F5D" w:rsidRPr="00E61C8B" w:rsidRDefault="00602F5D" w:rsidP="006C2959">
            <w:pPr>
              <w:widowControl/>
              <w:overflowPunct w:val="0"/>
              <w:ind w:right="-108"/>
              <w:jc w:val="center"/>
              <w:textAlignment w:val="baseline"/>
              <w:rPr>
                <w:b/>
                <w:sz w:val="14"/>
                <w:szCs w:val="14"/>
              </w:rPr>
            </w:pPr>
            <w:r w:rsidRPr="00E61C8B">
              <w:rPr>
                <w:b/>
                <w:sz w:val="14"/>
                <w:szCs w:val="14"/>
              </w:rPr>
              <w:t xml:space="preserve">   201</w:t>
            </w:r>
            <w:r w:rsidR="006C2959" w:rsidRPr="00E61C8B">
              <w:rPr>
                <w:b/>
                <w:sz w:val="14"/>
                <w:szCs w:val="14"/>
              </w:rPr>
              <w:t>3</w:t>
            </w:r>
          </w:p>
        </w:tc>
        <w:tc>
          <w:tcPr>
            <w:tcW w:w="99" w:type="dxa"/>
            <w:gridSpan w:val="3"/>
            <w:tcBorders>
              <w:bottom w:val="single" w:sz="4" w:space="0" w:color="auto"/>
            </w:tcBorders>
          </w:tcPr>
          <w:p w:rsidR="00602F5D" w:rsidRPr="0053635E" w:rsidRDefault="00602F5D" w:rsidP="007865C4">
            <w:pPr>
              <w:widowControl/>
              <w:overflowPunct w:val="0"/>
              <w:ind w:right="-108"/>
              <w:jc w:val="center"/>
              <w:textAlignment w:val="baseline"/>
              <w:rPr>
                <w:b/>
                <w:sz w:val="14"/>
                <w:szCs w:val="14"/>
                <w:highlight w:val="yellow"/>
              </w:rPr>
            </w:pPr>
          </w:p>
        </w:tc>
        <w:tc>
          <w:tcPr>
            <w:tcW w:w="60" w:type="dxa"/>
            <w:gridSpan w:val="3"/>
            <w:tcBorders>
              <w:bottom w:val="single" w:sz="4" w:space="0" w:color="auto"/>
            </w:tcBorders>
            <w:vAlign w:val="bottom"/>
          </w:tcPr>
          <w:p w:rsidR="00602F5D" w:rsidRPr="0053635E" w:rsidRDefault="00602F5D" w:rsidP="00602F5D">
            <w:pPr>
              <w:widowControl/>
              <w:overflowPunct w:val="0"/>
              <w:ind w:right="-108"/>
              <w:textAlignment w:val="baseline"/>
              <w:rPr>
                <w:b/>
                <w:sz w:val="14"/>
                <w:szCs w:val="14"/>
                <w:highlight w:val="yellow"/>
              </w:rPr>
            </w:pPr>
          </w:p>
        </w:tc>
        <w:tc>
          <w:tcPr>
            <w:tcW w:w="936" w:type="dxa"/>
            <w:gridSpan w:val="3"/>
            <w:vMerge/>
            <w:vAlign w:val="bottom"/>
          </w:tcPr>
          <w:p w:rsidR="00602F5D" w:rsidRPr="00E61C8B" w:rsidRDefault="00602F5D" w:rsidP="00602F5D">
            <w:pPr>
              <w:widowControl/>
              <w:overflowPunct w:val="0"/>
              <w:ind w:right="-108"/>
              <w:jc w:val="center"/>
              <w:textAlignment w:val="baseline"/>
              <w:rPr>
                <w:b/>
                <w:sz w:val="14"/>
                <w:szCs w:val="14"/>
              </w:rPr>
            </w:pPr>
          </w:p>
        </w:tc>
      </w:tr>
      <w:tr w:rsidR="00602F5D" w:rsidRPr="0053635E" w:rsidTr="006C2959">
        <w:trPr>
          <w:gridAfter w:val="1"/>
          <w:wAfter w:w="10" w:type="dxa"/>
          <w:jc w:val="center"/>
        </w:trPr>
        <w:tc>
          <w:tcPr>
            <w:tcW w:w="511" w:type="dxa"/>
            <w:gridSpan w:val="2"/>
            <w:tcBorders>
              <w:top w:val="single" w:sz="4" w:space="0" w:color="auto"/>
            </w:tcBorders>
          </w:tcPr>
          <w:p w:rsidR="00602F5D" w:rsidRPr="006C2959" w:rsidRDefault="00602F5D" w:rsidP="00602F5D">
            <w:pPr>
              <w:widowControl/>
              <w:tabs>
                <w:tab w:val="decimal" w:pos="172"/>
              </w:tabs>
              <w:overflowPunct w:val="0"/>
              <w:jc w:val="center"/>
              <w:textAlignment w:val="baseline"/>
              <w:rPr>
                <w:sz w:val="14"/>
                <w:szCs w:val="14"/>
              </w:rPr>
            </w:pPr>
          </w:p>
        </w:tc>
        <w:tc>
          <w:tcPr>
            <w:tcW w:w="1104" w:type="dxa"/>
            <w:gridSpan w:val="2"/>
            <w:tcBorders>
              <w:top w:val="single" w:sz="4" w:space="0" w:color="auto"/>
            </w:tcBorders>
          </w:tcPr>
          <w:p w:rsidR="00602F5D" w:rsidRPr="006C2959" w:rsidRDefault="00602F5D" w:rsidP="00602F5D">
            <w:pPr>
              <w:widowControl/>
              <w:tabs>
                <w:tab w:val="decimal" w:pos="172"/>
              </w:tabs>
              <w:overflowPunct w:val="0"/>
              <w:jc w:val="center"/>
              <w:textAlignment w:val="baseline"/>
              <w:rPr>
                <w:sz w:val="14"/>
                <w:szCs w:val="14"/>
              </w:rPr>
            </w:pPr>
          </w:p>
        </w:tc>
        <w:tc>
          <w:tcPr>
            <w:tcW w:w="977" w:type="dxa"/>
            <w:tcBorders>
              <w:top w:val="single" w:sz="4" w:space="0" w:color="auto"/>
            </w:tcBorders>
          </w:tcPr>
          <w:p w:rsidR="00602F5D" w:rsidRPr="006C2959" w:rsidRDefault="00602F5D" w:rsidP="00602F5D">
            <w:pPr>
              <w:widowControl/>
              <w:tabs>
                <w:tab w:val="decimal" w:pos="172"/>
              </w:tabs>
              <w:overflowPunct w:val="0"/>
              <w:jc w:val="center"/>
              <w:textAlignment w:val="baseline"/>
              <w:rPr>
                <w:sz w:val="14"/>
                <w:szCs w:val="14"/>
              </w:rPr>
            </w:pPr>
          </w:p>
        </w:tc>
        <w:tc>
          <w:tcPr>
            <w:tcW w:w="810" w:type="dxa"/>
            <w:tcBorders>
              <w:top w:val="single" w:sz="4" w:space="0" w:color="auto"/>
            </w:tcBorders>
          </w:tcPr>
          <w:p w:rsidR="00602F5D" w:rsidRPr="006C2959" w:rsidRDefault="00602F5D" w:rsidP="00602F5D">
            <w:pPr>
              <w:widowControl/>
              <w:tabs>
                <w:tab w:val="decimal" w:pos="172"/>
              </w:tabs>
              <w:overflowPunct w:val="0"/>
              <w:ind w:right="-37"/>
              <w:jc w:val="center"/>
              <w:textAlignment w:val="baseline"/>
              <w:rPr>
                <w:sz w:val="14"/>
                <w:szCs w:val="14"/>
              </w:rPr>
            </w:pPr>
          </w:p>
        </w:tc>
        <w:tc>
          <w:tcPr>
            <w:tcW w:w="854" w:type="dxa"/>
            <w:gridSpan w:val="3"/>
            <w:tcBorders>
              <w:top w:val="single" w:sz="4" w:space="0" w:color="auto"/>
            </w:tcBorders>
          </w:tcPr>
          <w:p w:rsidR="00602F5D" w:rsidRPr="006C2959" w:rsidRDefault="00602F5D" w:rsidP="00602F5D">
            <w:pPr>
              <w:widowControl/>
              <w:tabs>
                <w:tab w:val="decimal" w:pos="172"/>
              </w:tabs>
              <w:overflowPunct w:val="0"/>
              <w:jc w:val="center"/>
              <w:textAlignment w:val="baseline"/>
              <w:rPr>
                <w:sz w:val="14"/>
                <w:szCs w:val="14"/>
              </w:rPr>
            </w:pPr>
          </w:p>
        </w:tc>
        <w:tc>
          <w:tcPr>
            <w:tcW w:w="762" w:type="dxa"/>
            <w:gridSpan w:val="2"/>
            <w:tcBorders>
              <w:top w:val="single" w:sz="4" w:space="0" w:color="auto"/>
            </w:tcBorders>
          </w:tcPr>
          <w:p w:rsidR="00602F5D" w:rsidRPr="006C2959" w:rsidRDefault="00602F5D" w:rsidP="00602F5D">
            <w:pPr>
              <w:widowControl/>
              <w:tabs>
                <w:tab w:val="decimal" w:pos="172"/>
              </w:tabs>
              <w:overflowPunct w:val="0"/>
              <w:jc w:val="center"/>
              <w:textAlignment w:val="baseline"/>
              <w:rPr>
                <w:sz w:val="14"/>
                <w:szCs w:val="14"/>
              </w:rPr>
            </w:pPr>
          </w:p>
        </w:tc>
        <w:tc>
          <w:tcPr>
            <w:tcW w:w="780" w:type="dxa"/>
            <w:tcBorders>
              <w:top w:val="single" w:sz="4" w:space="0" w:color="auto"/>
            </w:tcBorders>
          </w:tcPr>
          <w:p w:rsidR="00602F5D" w:rsidRPr="0053635E" w:rsidRDefault="00602F5D" w:rsidP="00602F5D">
            <w:pPr>
              <w:widowControl/>
              <w:tabs>
                <w:tab w:val="decimal" w:pos="172"/>
              </w:tabs>
              <w:overflowPunct w:val="0"/>
              <w:jc w:val="center"/>
              <w:textAlignment w:val="baseline"/>
              <w:rPr>
                <w:sz w:val="14"/>
                <w:szCs w:val="14"/>
                <w:highlight w:val="yellow"/>
              </w:rPr>
            </w:pPr>
          </w:p>
        </w:tc>
        <w:tc>
          <w:tcPr>
            <w:tcW w:w="728" w:type="dxa"/>
            <w:gridSpan w:val="2"/>
            <w:tcBorders>
              <w:top w:val="single" w:sz="4" w:space="0" w:color="auto"/>
            </w:tcBorders>
          </w:tcPr>
          <w:p w:rsidR="00602F5D" w:rsidRPr="0053635E" w:rsidRDefault="00602F5D" w:rsidP="00602F5D">
            <w:pPr>
              <w:widowControl/>
              <w:tabs>
                <w:tab w:val="decimal" w:pos="172"/>
              </w:tabs>
              <w:overflowPunct w:val="0"/>
              <w:jc w:val="center"/>
              <w:textAlignment w:val="baseline"/>
              <w:rPr>
                <w:sz w:val="14"/>
                <w:szCs w:val="14"/>
                <w:highlight w:val="yellow"/>
              </w:rPr>
            </w:pPr>
          </w:p>
        </w:tc>
        <w:tc>
          <w:tcPr>
            <w:tcW w:w="675" w:type="dxa"/>
            <w:gridSpan w:val="2"/>
            <w:tcBorders>
              <w:top w:val="single" w:sz="4" w:space="0" w:color="auto"/>
            </w:tcBorders>
          </w:tcPr>
          <w:p w:rsidR="00602F5D" w:rsidRPr="0053635E" w:rsidRDefault="00602F5D" w:rsidP="00602F5D">
            <w:pPr>
              <w:widowControl/>
              <w:tabs>
                <w:tab w:val="decimal" w:pos="172"/>
              </w:tabs>
              <w:overflowPunct w:val="0"/>
              <w:jc w:val="center"/>
              <w:textAlignment w:val="baseline"/>
              <w:rPr>
                <w:sz w:val="14"/>
                <w:szCs w:val="14"/>
                <w:highlight w:val="yellow"/>
              </w:rPr>
            </w:pPr>
          </w:p>
        </w:tc>
        <w:tc>
          <w:tcPr>
            <w:tcW w:w="581" w:type="dxa"/>
            <w:gridSpan w:val="2"/>
            <w:tcBorders>
              <w:top w:val="single" w:sz="4" w:space="0" w:color="auto"/>
            </w:tcBorders>
          </w:tcPr>
          <w:p w:rsidR="00602F5D" w:rsidRPr="0053635E" w:rsidRDefault="00602F5D" w:rsidP="00602F5D">
            <w:pPr>
              <w:widowControl/>
              <w:tabs>
                <w:tab w:val="decimal" w:pos="172"/>
              </w:tabs>
              <w:overflowPunct w:val="0"/>
              <w:jc w:val="center"/>
              <w:textAlignment w:val="baseline"/>
              <w:rPr>
                <w:sz w:val="14"/>
                <w:szCs w:val="14"/>
                <w:highlight w:val="yellow"/>
              </w:rPr>
            </w:pPr>
          </w:p>
        </w:tc>
        <w:tc>
          <w:tcPr>
            <w:tcW w:w="99" w:type="dxa"/>
            <w:gridSpan w:val="3"/>
            <w:tcBorders>
              <w:top w:val="single" w:sz="4" w:space="0" w:color="auto"/>
            </w:tcBorders>
          </w:tcPr>
          <w:p w:rsidR="00602F5D" w:rsidRPr="0053635E" w:rsidRDefault="00602F5D" w:rsidP="00602F5D">
            <w:pPr>
              <w:widowControl/>
              <w:tabs>
                <w:tab w:val="decimal" w:pos="172"/>
              </w:tabs>
              <w:overflowPunct w:val="0"/>
              <w:jc w:val="center"/>
              <w:textAlignment w:val="baseline"/>
              <w:rPr>
                <w:sz w:val="14"/>
                <w:szCs w:val="14"/>
                <w:highlight w:val="yellow"/>
              </w:rPr>
            </w:pPr>
          </w:p>
        </w:tc>
        <w:tc>
          <w:tcPr>
            <w:tcW w:w="60" w:type="dxa"/>
            <w:gridSpan w:val="3"/>
            <w:tcBorders>
              <w:top w:val="single" w:sz="4" w:space="0" w:color="auto"/>
            </w:tcBorders>
          </w:tcPr>
          <w:p w:rsidR="00602F5D" w:rsidRPr="0053635E" w:rsidRDefault="00602F5D" w:rsidP="00602F5D">
            <w:pPr>
              <w:widowControl/>
              <w:tabs>
                <w:tab w:val="decimal" w:pos="172"/>
              </w:tabs>
              <w:overflowPunct w:val="0"/>
              <w:jc w:val="center"/>
              <w:textAlignment w:val="baseline"/>
              <w:rPr>
                <w:sz w:val="14"/>
                <w:szCs w:val="14"/>
                <w:highlight w:val="yellow"/>
              </w:rPr>
            </w:pPr>
          </w:p>
        </w:tc>
        <w:tc>
          <w:tcPr>
            <w:tcW w:w="936" w:type="dxa"/>
            <w:gridSpan w:val="3"/>
            <w:tcBorders>
              <w:top w:val="single" w:sz="4" w:space="0" w:color="auto"/>
            </w:tcBorders>
          </w:tcPr>
          <w:p w:rsidR="00602F5D" w:rsidRPr="00E61C8B" w:rsidRDefault="00602F5D" w:rsidP="00602F5D">
            <w:pPr>
              <w:widowControl/>
              <w:tabs>
                <w:tab w:val="decimal" w:pos="172"/>
              </w:tabs>
              <w:overflowPunct w:val="0"/>
              <w:jc w:val="center"/>
              <w:textAlignment w:val="baseline"/>
              <w:rPr>
                <w:sz w:val="14"/>
                <w:szCs w:val="14"/>
              </w:rPr>
            </w:pPr>
          </w:p>
        </w:tc>
      </w:tr>
      <w:tr w:rsidR="00F6531C" w:rsidRPr="0053635E" w:rsidTr="006C2959">
        <w:trPr>
          <w:gridBefore w:val="1"/>
          <w:wBefore w:w="13" w:type="dxa"/>
          <w:jc w:val="center"/>
        </w:trPr>
        <w:tc>
          <w:tcPr>
            <w:tcW w:w="510" w:type="dxa"/>
            <w:gridSpan w:val="2"/>
          </w:tcPr>
          <w:p w:rsidR="00F6531C" w:rsidRPr="006C2959" w:rsidRDefault="00F6531C" w:rsidP="00602F5D">
            <w:pPr>
              <w:widowControl/>
              <w:tabs>
                <w:tab w:val="decimal" w:pos="105"/>
              </w:tabs>
              <w:overflowPunct w:val="0"/>
              <w:jc w:val="center"/>
              <w:textAlignment w:val="baseline"/>
              <w:rPr>
                <w:sz w:val="14"/>
                <w:szCs w:val="14"/>
              </w:rPr>
            </w:pPr>
          </w:p>
        </w:tc>
        <w:tc>
          <w:tcPr>
            <w:tcW w:w="1092" w:type="dxa"/>
          </w:tcPr>
          <w:p w:rsidR="00F6531C" w:rsidRPr="006C2959" w:rsidRDefault="00F6531C" w:rsidP="005361FF">
            <w:pPr>
              <w:widowControl/>
              <w:tabs>
                <w:tab w:val="decimal" w:pos="754"/>
              </w:tabs>
              <w:overflowPunct w:val="0"/>
              <w:ind w:left="-131"/>
              <w:textAlignment w:val="baseline"/>
              <w:rPr>
                <w:sz w:val="14"/>
                <w:szCs w:val="14"/>
              </w:rPr>
            </w:pPr>
          </w:p>
        </w:tc>
        <w:tc>
          <w:tcPr>
            <w:tcW w:w="977" w:type="dxa"/>
          </w:tcPr>
          <w:p w:rsidR="00F6531C" w:rsidRPr="006C2959" w:rsidRDefault="00F6531C" w:rsidP="00F6531C">
            <w:pPr>
              <w:widowControl/>
              <w:overflowPunct w:val="0"/>
              <w:ind w:left="-108" w:right="104"/>
              <w:jc w:val="right"/>
              <w:textAlignment w:val="baseline"/>
              <w:rPr>
                <w:sz w:val="14"/>
                <w:szCs w:val="14"/>
              </w:rPr>
            </w:pPr>
          </w:p>
        </w:tc>
        <w:tc>
          <w:tcPr>
            <w:tcW w:w="834" w:type="dxa"/>
            <w:gridSpan w:val="2"/>
          </w:tcPr>
          <w:p w:rsidR="00F6531C" w:rsidRPr="006C2959" w:rsidRDefault="00F6531C" w:rsidP="00602F5D">
            <w:pPr>
              <w:widowControl/>
              <w:overflowPunct w:val="0"/>
              <w:jc w:val="right"/>
              <w:textAlignment w:val="baseline"/>
              <w:rPr>
                <w:sz w:val="14"/>
                <w:szCs w:val="14"/>
              </w:rPr>
            </w:pPr>
          </w:p>
        </w:tc>
        <w:tc>
          <w:tcPr>
            <w:tcW w:w="854" w:type="dxa"/>
            <w:gridSpan w:val="3"/>
          </w:tcPr>
          <w:p w:rsidR="00F6531C" w:rsidRPr="006C2959" w:rsidRDefault="00F6531C" w:rsidP="00602F5D">
            <w:pPr>
              <w:widowControl/>
              <w:tabs>
                <w:tab w:val="decimal" w:pos="172"/>
              </w:tabs>
              <w:overflowPunct w:val="0"/>
              <w:jc w:val="center"/>
              <w:textAlignment w:val="baseline"/>
              <w:rPr>
                <w:sz w:val="14"/>
                <w:szCs w:val="14"/>
              </w:rPr>
            </w:pPr>
          </w:p>
        </w:tc>
        <w:tc>
          <w:tcPr>
            <w:tcW w:w="738" w:type="dxa"/>
          </w:tcPr>
          <w:p w:rsidR="00F6531C" w:rsidRPr="006C2959" w:rsidRDefault="00F6531C" w:rsidP="00602F5D">
            <w:pPr>
              <w:widowControl/>
              <w:tabs>
                <w:tab w:val="decimal" w:pos="172"/>
              </w:tabs>
              <w:overflowPunct w:val="0"/>
              <w:jc w:val="center"/>
              <w:textAlignment w:val="baseline"/>
              <w:rPr>
                <w:sz w:val="14"/>
                <w:szCs w:val="14"/>
              </w:rPr>
            </w:pPr>
          </w:p>
        </w:tc>
        <w:tc>
          <w:tcPr>
            <w:tcW w:w="815" w:type="dxa"/>
            <w:gridSpan w:val="2"/>
          </w:tcPr>
          <w:p w:rsidR="00F6531C" w:rsidRPr="0053635E" w:rsidRDefault="00F6531C" w:rsidP="00602F5D">
            <w:pPr>
              <w:widowControl/>
              <w:tabs>
                <w:tab w:val="decimal" w:pos="563"/>
              </w:tabs>
              <w:overflowPunct w:val="0"/>
              <w:textAlignment w:val="baseline"/>
              <w:rPr>
                <w:sz w:val="14"/>
                <w:szCs w:val="14"/>
                <w:highlight w:val="yellow"/>
              </w:rPr>
            </w:pPr>
          </w:p>
        </w:tc>
        <w:tc>
          <w:tcPr>
            <w:tcW w:w="728" w:type="dxa"/>
            <w:gridSpan w:val="2"/>
          </w:tcPr>
          <w:p w:rsidR="00F6531C" w:rsidRPr="0053635E" w:rsidRDefault="00F6531C" w:rsidP="00602F5D">
            <w:pPr>
              <w:widowControl/>
              <w:tabs>
                <w:tab w:val="decimal" w:pos="563"/>
              </w:tabs>
              <w:overflowPunct w:val="0"/>
              <w:textAlignment w:val="baseline"/>
              <w:rPr>
                <w:sz w:val="14"/>
                <w:szCs w:val="14"/>
                <w:highlight w:val="yellow"/>
              </w:rPr>
            </w:pPr>
          </w:p>
        </w:tc>
        <w:tc>
          <w:tcPr>
            <w:tcW w:w="675" w:type="dxa"/>
            <w:gridSpan w:val="2"/>
          </w:tcPr>
          <w:p w:rsidR="00F6531C" w:rsidRPr="0053635E" w:rsidRDefault="00F6531C" w:rsidP="00602F5D">
            <w:pPr>
              <w:widowControl/>
              <w:tabs>
                <w:tab w:val="decimal" w:pos="712"/>
              </w:tabs>
              <w:overflowPunct w:val="0"/>
              <w:textAlignment w:val="baseline"/>
              <w:rPr>
                <w:sz w:val="14"/>
                <w:szCs w:val="14"/>
                <w:highlight w:val="yellow"/>
              </w:rPr>
            </w:pPr>
          </w:p>
        </w:tc>
        <w:tc>
          <w:tcPr>
            <w:tcW w:w="581" w:type="dxa"/>
            <w:gridSpan w:val="2"/>
          </w:tcPr>
          <w:p w:rsidR="00F6531C" w:rsidRPr="0053635E" w:rsidRDefault="00F6531C" w:rsidP="00602F5D">
            <w:pPr>
              <w:widowControl/>
              <w:tabs>
                <w:tab w:val="decimal" w:pos="712"/>
              </w:tabs>
              <w:overflowPunct w:val="0"/>
              <w:textAlignment w:val="baseline"/>
              <w:rPr>
                <w:sz w:val="14"/>
                <w:szCs w:val="14"/>
                <w:highlight w:val="yellow"/>
              </w:rPr>
            </w:pPr>
          </w:p>
        </w:tc>
        <w:tc>
          <w:tcPr>
            <w:tcW w:w="77" w:type="dxa"/>
            <w:gridSpan w:val="3"/>
          </w:tcPr>
          <w:p w:rsidR="00F6531C" w:rsidRPr="0053635E" w:rsidRDefault="00F6531C" w:rsidP="00602F5D">
            <w:pPr>
              <w:widowControl/>
              <w:tabs>
                <w:tab w:val="decimal" w:pos="806"/>
              </w:tabs>
              <w:overflowPunct w:val="0"/>
              <w:textAlignment w:val="baseline"/>
              <w:rPr>
                <w:sz w:val="14"/>
                <w:szCs w:val="14"/>
                <w:highlight w:val="yellow"/>
              </w:rPr>
            </w:pPr>
          </w:p>
        </w:tc>
        <w:tc>
          <w:tcPr>
            <w:tcW w:w="57" w:type="dxa"/>
            <w:gridSpan w:val="3"/>
          </w:tcPr>
          <w:p w:rsidR="00F6531C" w:rsidRPr="0053635E" w:rsidRDefault="00F6531C" w:rsidP="00602F5D">
            <w:pPr>
              <w:widowControl/>
              <w:tabs>
                <w:tab w:val="decimal" w:pos="806"/>
              </w:tabs>
              <w:overflowPunct w:val="0"/>
              <w:textAlignment w:val="baseline"/>
              <w:rPr>
                <w:sz w:val="14"/>
                <w:szCs w:val="14"/>
                <w:highlight w:val="yellow"/>
              </w:rPr>
            </w:pPr>
          </w:p>
        </w:tc>
        <w:tc>
          <w:tcPr>
            <w:tcW w:w="936" w:type="dxa"/>
            <w:gridSpan w:val="3"/>
          </w:tcPr>
          <w:p w:rsidR="00F6531C" w:rsidRPr="0053635E" w:rsidRDefault="00F6531C" w:rsidP="00602F5D">
            <w:pPr>
              <w:widowControl/>
              <w:tabs>
                <w:tab w:val="decimal" w:pos="735"/>
              </w:tabs>
              <w:overflowPunct w:val="0"/>
              <w:textAlignment w:val="baseline"/>
              <w:rPr>
                <w:sz w:val="14"/>
                <w:szCs w:val="14"/>
                <w:highlight w:val="yellow"/>
              </w:rPr>
            </w:pP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440"/>
              </w:tabs>
              <w:suppressAutoHyphens/>
              <w:ind w:left="200" w:hanging="200"/>
              <w:rPr>
                <w:sz w:val="14"/>
              </w:rPr>
            </w:pPr>
            <w:r w:rsidRPr="006C2959">
              <w:rPr>
                <w:sz w:val="14"/>
              </w:rPr>
              <w:t>(a)</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w:t>
            </w:r>
            <w:r w:rsidR="00B077AF" w:rsidRPr="006C2959">
              <w:rPr>
                <w:sz w:val="14"/>
              </w:rPr>
              <w:t xml:space="preserve">        </w:t>
            </w:r>
            <w:r w:rsidRPr="006C2959">
              <w:rPr>
                <w:sz w:val="14"/>
              </w:rPr>
              <w:t>60,852</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Jul-2007</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Oct-2017</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5.299%</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Dec-2007</w:t>
            </w:r>
          </w:p>
        </w:tc>
        <w:tc>
          <w:tcPr>
            <w:tcW w:w="815" w:type="dxa"/>
            <w:gridSpan w:val="2"/>
            <w:vAlign w:val="bottom"/>
          </w:tcPr>
          <w:p w:rsidR="00E65B32" w:rsidRPr="006F306D" w:rsidRDefault="00E65B32" w:rsidP="00B077A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w:t>
            </w:r>
            <w:r w:rsidR="00B077AF" w:rsidRPr="006F306D">
              <w:rPr>
                <w:sz w:val="14"/>
              </w:rPr>
              <w:t xml:space="preserve">          </w:t>
            </w:r>
            <w:r w:rsidRPr="006F306D">
              <w:rPr>
                <w:sz w:val="14"/>
              </w:rPr>
              <w:t>1,853</w:t>
            </w:r>
          </w:p>
        </w:tc>
        <w:tc>
          <w:tcPr>
            <w:tcW w:w="728" w:type="dxa"/>
            <w:gridSpan w:val="2"/>
          </w:tcPr>
          <w:p w:rsidR="00E65B32" w:rsidRPr="00B44714" w:rsidRDefault="00E65B32" w:rsidP="00FB486B">
            <w:pPr>
              <w:widowControl/>
              <w:tabs>
                <w:tab w:val="decimal" w:pos="563"/>
              </w:tabs>
              <w:overflowPunct w:val="0"/>
              <w:textAlignment w:val="baseline"/>
              <w:rPr>
                <w:sz w:val="14"/>
                <w:szCs w:val="14"/>
              </w:rPr>
            </w:pPr>
            <w:r w:rsidRPr="00B44714">
              <w:rPr>
                <w:sz w:val="14"/>
                <w:szCs w:val="14"/>
              </w:rPr>
              <w:t xml:space="preserve">$ </w:t>
            </w:r>
            <w:r w:rsidR="0032307F">
              <w:rPr>
                <w:sz w:val="14"/>
                <w:szCs w:val="14"/>
              </w:rPr>
              <w:t xml:space="preserve"> </w:t>
            </w:r>
            <w:r w:rsidRPr="00B44714">
              <w:rPr>
                <w:sz w:val="14"/>
                <w:szCs w:val="14"/>
              </w:rPr>
              <w:t xml:space="preserve">  </w:t>
            </w:r>
            <w:r w:rsidR="00B44714">
              <w:rPr>
                <w:sz w:val="14"/>
                <w:szCs w:val="14"/>
              </w:rPr>
              <w:t xml:space="preserve">  </w:t>
            </w:r>
            <w:r w:rsidRPr="00B44714">
              <w:rPr>
                <w:sz w:val="14"/>
                <w:szCs w:val="14"/>
              </w:rPr>
              <w:t xml:space="preserve">   </w:t>
            </w:r>
            <w:r w:rsidR="00FB486B">
              <w:rPr>
                <w:sz w:val="14"/>
                <w:szCs w:val="14"/>
              </w:rPr>
              <w:t>(2)</w:t>
            </w:r>
          </w:p>
        </w:tc>
        <w:tc>
          <w:tcPr>
            <w:tcW w:w="675" w:type="dxa"/>
            <w:gridSpan w:val="2"/>
          </w:tcPr>
          <w:p w:rsidR="00E65B32" w:rsidRPr="00B44714" w:rsidRDefault="00E65B32" w:rsidP="00B44714">
            <w:pPr>
              <w:widowControl/>
              <w:tabs>
                <w:tab w:val="decimal" w:pos="712"/>
              </w:tabs>
              <w:overflowPunct w:val="0"/>
              <w:textAlignment w:val="baseline"/>
              <w:rPr>
                <w:sz w:val="14"/>
                <w:szCs w:val="14"/>
              </w:rPr>
            </w:pPr>
            <w:r w:rsidRPr="00B44714">
              <w:rPr>
                <w:sz w:val="14"/>
                <w:szCs w:val="14"/>
              </w:rPr>
              <w:t xml:space="preserve">$   </w:t>
            </w:r>
            <w:r w:rsidR="00141928" w:rsidRPr="00B44714">
              <w:rPr>
                <w:sz w:val="14"/>
                <w:szCs w:val="14"/>
              </w:rPr>
              <w:t xml:space="preserve">   </w:t>
            </w:r>
            <w:r w:rsidRPr="00B44714">
              <w:rPr>
                <w:sz w:val="14"/>
                <w:szCs w:val="14"/>
              </w:rPr>
              <w:t xml:space="preserve">  </w:t>
            </w:r>
            <w:r w:rsidR="00E07DAF" w:rsidRPr="00B44714">
              <w:rPr>
                <w:sz w:val="14"/>
                <w:szCs w:val="14"/>
              </w:rPr>
              <w:t xml:space="preserve">   </w:t>
            </w:r>
            <w:r w:rsidRPr="00B44714">
              <w:rPr>
                <w:sz w:val="14"/>
                <w:szCs w:val="14"/>
              </w:rPr>
              <w:t xml:space="preserve"> </w:t>
            </w:r>
            <w:r w:rsidR="00B44714" w:rsidRPr="00B44714">
              <w:rPr>
                <w:sz w:val="14"/>
                <w:szCs w:val="14"/>
              </w:rPr>
              <w:t>4</w:t>
            </w:r>
          </w:p>
        </w:tc>
        <w:tc>
          <w:tcPr>
            <w:tcW w:w="581" w:type="dxa"/>
            <w:gridSpan w:val="2"/>
          </w:tcPr>
          <w:p w:rsidR="00E65B32" w:rsidRPr="00E61C8B" w:rsidRDefault="00E65B32" w:rsidP="00E61C8B">
            <w:pPr>
              <w:widowControl/>
              <w:tabs>
                <w:tab w:val="decimal" w:pos="712"/>
              </w:tabs>
              <w:overflowPunct w:val="0"/>
              <w:textAlignment w:val="baseline"/>
              <w:rPr>
                <w:sz w:val="14"/>
                <w:szCs w:val="14"/>
              </w:rPr>
            </w:pPr>
            <w:r w:rsidRPr="00E61C8B">
              <w:rPr>
                <w:sz w:val="14"/>
                <w:szCs w:val="14"/>
              </w:rPr>
              <w:t xml:space="preserve">$      </w:t>
            </w:r>
            <w:r w:rsidR="00E61C8B" w:rsidRPr="00E61C8B">
              <w:rPr>
                <w:sz w:val="14"/>
                <w:szCs w:val="14"/>
              </w:rPr>
              <w:t>12</w:t>
            </w:r>
          </w:p>
        </w:tc>
        <w:tc>
          <w:tcPr>
            <w:tcW w:w="77" w:type="dxa"/>
            <w:gridSpan w:val="3"/>
          </w:tcPr>
          <w:p w:rsidR="00E65B32" w:rsidRPr="0053635E" w:rsidRDefault="00E65B32" w:rsidP="007B6C8B">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7B1E9E">
            <w:pPr>
              <w:widowControl/>
              <w:tabs>
                <w:tab w:val="decimal" w:pos="806"/>
              </w:tabs>
              <w:overflowPunct w:val="0"/>
              <w:textAlignment w:val="baseline"/>
              <w:rPr>
                <w:sz w:val="14"/>
                <w:szCs w:val="14"/>
                <w:highlight w:val="yellow"/>
              </w:rPr>
            </w:pPr>
          </w:p>
        </w:tc>
        <w:tc>
          <w:tcPr>
            <w:tcW w:w="936" w:type="dxa"/>
            <w:gridSpan w:val="3"/>
          </w:tcPr>
          <w:p w:rsidR="00E65B32" w:rsidRPr="00B44714" w:rsidRDefault="00E65B32" w:rsidP="00B44714">
            <w:pPr>
              <w:widowControl/>
              <w:tabs>
                <w:tab w:val="decimal" w:pos="735"/>
              </w:tabs>
              <w:overflowPunct w:val="0"/>
              <w:textAlignment w:val="baseline"/>
              <w:rPr>
                <w:sz w:val="14"/>
                <w:szCs w:val="14"/>
              </w:rPr>
            </w:pPr>
            <w:r w:rsidRPr="00B44714">
              <w:rPr>
                <w:sz w:val="14"/>
                <w:szCs w:val="14"/>
              </w:rPr>
              <w:t xml:space="preserve">  $ </w:t>
            </w:r>
            <w:r w:rsidR="00B077AF" w:rsidRPr="00B44714">
              <w:rPr>
                <w:sz w:val="14"/>
                <w:szCs w:val="14"/>
              </w:rPr>
              <w:t xml:space="preserve"> </w:t>
            </w:r>
            <w:r w:rsidRPr="00B44714">
              <w:rPr>
                <w:sz w:val="14"/>
                <w:szCs w:val="14"/>
              </w:rPr>
              <w:t xml:space="preserve"> </w:t>
            </w:r>
            <w:r w:rsidR="00B077AF" w:rsidRPr="00B44714">
              <w:rPr>
                <w:sz w:val="14"/>
                <w:szCs w:val="14"/>
              </w:rPr>
              <w:t xml:space="preserve">  </w:t>
            </w:r>
            <w:r w:rsidRPr="00B44714">
              <w:rPr>
                <w:sz w:val="14"/>
                <w:szCs w:val="14"/>
              </w:rPr>
              <w:t xml:space="preserve">     </w:t>
            </w:r>
            <w:r w:rsidR="00B44714" w:rsidRPr="00B44714">
              <w:rPr>
                <w:sz w:val="14"/>
                <w:szCs w:val="14"/>
              </w:rPr>
              <w:t>6</w:t>
            </w: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440"/>
              </w:tabs>
              <w:suppressAutoHyphens/>
              <w:ind w:left="200" w:hanging="200"/>
              <w:rPr>
                <w:sz w:val="14"/>
              </w:rPr>
            </w:pPr>
            <w:r w:rsidRPr="006C2959">
              <w:rPr>
                <w:sz w:val="14"/>
              </w:rPr>
              <w:t>(a)</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200,000</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Jul-2007</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Jul-2017</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5.307%</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Dec-2007</w:t>
            </w:r>
          </w:p>
        </w:tc>
        <w:tc>
          <w:tcPr>
            <w:tcW w:w="815" w:type="dxa"/>
            <w:gridSpan w:val="2"/>
            <w:vAlign w:val="bottom"/>
          </w:tcPr>
          <w:p w:rsidR="00E65B32" w:rsidRPr="006F306D"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6,412</w:t>
            </w:r>
          </w:p>
        </w:tc>
        <w:tc>
          <w:tcPr>
            <w:tcW w:w="728" w:type="dxa"/>
            <w:gridSpan w:val="2"/>
          </w:tcPr>
          <w:p w:rsidR="00E65B32" w:rsidRPr="00B44714" w:rsidRDefault="00FB486B" w:rsidP="00FB486B">
            <w:pPr>
              <w:widowControl/>
              <w:tabs>
                <w:tab w:val="decimal" w:pos="563"/>
              </w:tabs>
              <w:overflowPunct w:val="0"/>
              <w:textAlignment w:val="baseline"/>
              <w:rPr>
                <w:sz w:val="14"/>
                <w:szCs w:val="14"/>
              </w:rPr>
            </w:pPr>
            <w:r>
              <w:rPr>
                <w:sz w:val="14"/>
                <w:szCs w:val="14"/>
              </w:rPr>
              <w:t>4</w:t>
            </w:r>
          </w:p>
        </w:tc>
        <w:tc>
          <w:tcPr>
            <w:tcW w:w="675" w:type="dxa"/>
            <w:gridSpan w:val="2"/>
          </w:tcPr>
          <w:p w:rsidR="00E65B32" w:rsidRPr="00B44714" w:rsidRDefault="00B44714" w:rsidP="00B44714">
            <w:pPr>
              <w:widowControl/>
              <w:tabs>
                <w:tab w:val="decimal" w:pos="712"/>
              </w:tabs>
              <w:overflowPunct w:val="0"/>
              <w:textAlignment w:val="baseline"/>
              <w:rPr>
                <w:sz w:val="14"/>
                <w:szCs w:val="14"/>
              </w:rPr>
            </w:pPr>
            <w:r w:rsidRPr="00B44714">
              <w:rPr>
                <w:sz w:val="14"/>
                <w:szCs w:val="14"/>
              </w:rPr>
              <w:t>18</w:t>
            </w:r>
          </w:p>
        </w:tc>
        <w:tc>
          <w:tcPr>
            <w:tcW w:w="581" w:type="dxa"/>
            <w:gridSpan w:val="2"/>
          </w:tcPr>
          <w:p w:rsidR="00E65B32" w:rsidRPr="00E61C8B" w:rsidRDefault="00E61C8B" w:rsidP="00E61C8B">
            <w:pPr>
              <w:widowControl/>
              <w:tabs>
                <w:tab w:val="decimal" w:pos="712"/>
              </w:tabs>
              <w:overflowPunct w:val="0"/>
              <w:textAlignment w:val="baseline"/>
              <w:rPr>
                <w:sz w:val="14"/>
                <w:szCs w:val="14"/>
              </w:rPr>
            </w:pPr>
            <w:r w:rsidRPr="00E61C8B">
              <w:rPr>
                <w:sz w:val="14"/>
                <w:szCs w:val="14"/>
              </w:rPr>
              <w:t>46</w:t>
            </w:r>
          </w:p>
        </w:tc>
        <w:tc>
          <w:tcPr>
            <w:tcW w:w="77" w:type="dxa"/>
            <w:gridSpan w:val="3"/>
          </w:tcPr>
          <w:p w:rsidR="00E65B32" w:rsidRPr="0053635E" w:rsidRDefault="00E65B32" w:rsidP="007B6C8B">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7B1E9E">
            <w:pPr>
              <w:widowControl/>
              <w:tabs>
                <w:tab w:val="decimal" w:pos="806"/>
              </w:tabs>
              <w:overflowPunct w:val="0"/>
              <w:textAlignment w:val="baseline"/>
              <w:rPr>
                <w:sz w:val="14"/>
                <w:szCs w:val="14"/>
                <w:highlight w:val="yellow"/>
              </w:rPr>
            </w:pPr>
          </w:p>
        </w:tc>
        <w:tc>
          <w:tcPr>
            <w:tcW w:w="936" w:type="dxa"/>
            <w:gridSpan w:val="3"/>
          </w:tcPr>
          <w:p w:rsidR="00E65B32" w:rsidRPr="00B44714" w:rsidRDefault="00B44714" w:rsidP="00B44714">
            <w:pPr>
              <w:widowControl/>
              <w:tabs>
                <w:tab w:val="decimal" w:pos="735"/>
              </w:tabs>
              <w:overflowPunct w:val="0"/>
              <w:textAlignment w:val="baseline"/>
              <w:rPr>
                <w:sz w:val="14"/>
                <w:szCs w:val="14"/>
              </w:rPr>
            </w:pPr>
            <w:r w:rsidRPr="00B44714">
              <w:rPr>
                <w:sz w:val="14"/>
                <w:szCs w:val="14"/>
              </w:rPr>
              <w:t>29</w:t>
            </w: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440"/>
              </w:tabs>
              <w:suppressAutoHyphens/>
              <w:ind w:left="200" w:hanging="200"/>
              <w:rPr>
                <w:sz w:val="14"/>
              </w:rPr>
            </w:pPr>
            <w:r w:rsidRPr="006C2959">
              <w:rPr>
                <w:sz w:val="14"/>
              </w:rPr>
              <w:t>(a)</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163,333</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Jul-2007</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Jul-2014</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5.580%</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Dec-2007</w:t>
            </w:r>
          </w:p>
        </w:tc>
        <w:tc>
          <w:tcPr>
            <w:tcW w:w="815" w:type="dxa"/>
            <w:gridSpan w:val="2"/>
            <w:vAlign w:val="bottom"/>
          </w:tcPr>
          <w:p w:rsidR="00E65B32" w:rsidRPr="006F306D"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3,773</w:t>
            </w:r>
          </w:p>
        </w:tc>
        <w:tc>
          <w:tcPr>
            <w:tcW w:w="728" w:type="dxa"/>
            <w:gridSpan w:val="2"/>
          </w:tcPr>
          <w:p w:rsidR="00E65B32" w:rsidRPr="00B44714" w:rsidRDefault="00FB486B" w:rsidP="00FB486B">
            <w:pPr>
              <w:widowControl/>
              <w:tabs>
                <w:tab w:val="decimal" w:pos="563"/>
              </w:tabs>
              <w:overflowPunct w:val="0"/>
              <w:textAlignment w:val="baseline"/>
              <w:rPr>
                <w:sz w:val="14"/>
                <w:szCs w:val="14"/>
              </w:rPr>
            </w:pPr>
            <w:r>
              <w:rPr>
                <w:sz w:val="14"/>
                <w:szCs w:val="14"/>
              </w:rPr>
              <w:t>111</w:t>
            </w:r>
          </w:p>
        </w:tc>
        <w:tc>
          <w:tcPr>
            <w:tcW w:w="675" w:type="dxa"/>
            <w:gridSpan w:val="2"/>
          </w:tcPr>
          <w:p w:rsidR="007B6C8B" w:rsidRPr="00B44714" w:rsidRDefault="00B44714" w:rsidP="00B44714">
            <w:pPr>
              <w:widowControl/>
              <w:tabs>
                <w:tab w:val="decimal" w:pos="712"/>
              </w:tabs>
              <w:overflowPunct w:val="0"/>
              <w:textAlignment w:val="baseline"/>
              <w:rPr>
                <w:sz w:val="14"/>
                <w:szCs w:val="14"/>
              </w:rPr>
            </w:pPr>
            <w:r w:rsidRPr="00B44714">
              <w:rPr>
                <w:sz w:val="14"/>
                <w:szCs w:val="14"/>
              </w:rPr>
              <w:t>89</w:t>
            </w:r>
          </w:p>
        </w:tc>
        <w:tc>
          <w:tcPr>
            <w:tcW w:w="581" w:type="dxa"/>
            <w:gridSpan w:val="2"/>
          </w:tcPr>
          <w:p w:rsidR="00E65B32" w:rsidRPr="00E61C8B" w:rsidRDefault="00E61C8B" w:rsidP="00E61C8B">
            <w:pPr>
              <w:widowControl/>
              <w:tabs>
                <w:tab w:val="decimal" w:pos="712"/>
              </w:tabs>
              <w:overflowPunct w:val="0"/>
              <w:textAlignment w:val="baseline"/>
              <w:rPr>
                <w:sz w:val="14"/>
                <w:szCs w:val="14"/>
              </w:rPr>
            </w:pPr>
            <w:r w:rsidRPr="00E61C8B">
              <w:rPr>
                <w:sz w:val="14"/>
                <w:szCs w:val="14"/>
              </w:rPr>
              <w:t>108</w:t>
            </w:r>
          </w:p>
        </w:tc>
        <w:tc>
          <w:tcPr>
            <w:tcW w:w="77" w:type="dxa"/>
            <w:gridSpan w:val="3"/>
          </w:tcPr>
          <w:p w:rsidR="00E65B32" w:rsidRPr="0053635E" w:rsidRDefault="00E65B32" w:rsidP="007B6C8B">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7B1E9E">
            <w:pPr>
              <w:widowControl/>
              <w:tabs>
                <w:tab w:val="decimal" w:pos="806"/>
              </w:tabs>
              <w:overflowPunct w:val="0"/>
              <w:textAlignment w:val="baseline"/>
              <w:rPr>
                <w:sz w:val="14"/>
                <w:szCs w:val="14"/>
                <w:highlight w:val="yellow"/>
              </w:rPr>
            </w:pPr>
          </w:p>
        </w:tc>
        <w:tc>
          <w:tcPr>
            <w:tcW w:w="936" w:type="dxa"/>
            <w:gridSpan w:val="3"/>
          </w:tcPr>
          <w:p w:rsidR="00E65B32" w:rsidRPr="00B44714" w:rsidRDefault="00B44714" w:rsidP="00B44714">
            <w:pPr>
              <w:widowControl/>
              <w:tabs>
                <w:tab w:val="decimal" w:pos="735"/>
              </w:tabs>
              <w:overflowPunct w:val="0"/>
              <w:textAlignment w:val="baseline"/>
              <w:rPr>
                <w:sz w:val="14"/>
                <w:szCs w:val="14"/>
              </w:rPr>
            </w:pPr>
            <w:r w:rsidRPr="00B44714">
              <w:rPr>
                <w:sz w:val="14"/>
                <w:szCs w:val="14"/>
              </w:rPr>
              <w:t>111</w:t>
            </w: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440"/>
              </w:tabs>
              <w:suppressAutoHyphens/>
              <w:ind w:left="200" w:hanging="200"/>
              <w:rPr>
                <w:sz w:val="14"/>
              </w:rPr>
            </w:pPr>
            <w:r w:rsidRPr="006C2959">
              <w:rPr>
                <w:sz w:val="14"/>
              </w:rPr>
              <w:t>(b)</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150,000</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Oct-2014</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5.512%</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15" w:type="dxa"/>
            <w:gridSpan w:val="2"/>
            <w:vAlign w:val="bottom"/>
          </w:tcPr>
          <w:p w:rsidR="00E65B32" w:rsidRPr="006F306D"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1,711</w:t>
            </w:r>
          </w:p>
        </w:tc>
        <w:tc>
          <w:tcPr>
            <w:tcW w:w="728" w:type="dxa"/>
            <w:gridSpan w:val="2"/>
          </w:tcPr>
          <w:p w:rsidR="00E65B32" w:rsidRPr="00B44714" w:rsidRDefault="00FB486B" w:rsidP="00FB486B">
            <w:pPr>
              <w:widowControl/>
              <w:tabs>
                <w:tab w:val="decimal" w:pos="563"/>
              </w:tabs>
              <w:overflowPunct w:val="0"/>
              <w:textAlignment w:val="baseline"/>
              <w:rPr>
                <w:sz w:val="14"/>
                <w:szCs w:val="14"/>
              </w:rPr>
            </w:pPr>
            <w:r>
              <w:rPr>
                <w:sz w:val="14"/>
                <w:szCs w:val="14"/>
              </w:rPr>
              <w:t>30</w:t>
            </w:r>
          </w:p>
        </w:tc>
        <w:tc>
          <w:tcPr>
            <w:tcW w:w="675" w:type="dxa"/>
            <w:gridSpan w:val="2"/>
          </w:tcPr>
          <w:p w:rsidR="00E65B32" w:rsidRPr="00B44714" w:rsidRDefault="00B44714" w:rsidP="00B44714">
            <w:pPr>
              <w:widowControl/>
              <w:tabs>
                <w:tab w:val="decimal" w:pos="712"/>
              </w:tabs>
              <w:overflowPunct w:val="0"/>
              <w:textAlignment w:val="baseline"/>
              <w:rPr>
                <w:sz w:val="14"/>
                <w:szCs w:val="14"/>
              </w:rPr>
            </w:pPr>
            <w:r w:rsidRPr="00B44714">
              <w:rPr>
                <w:sz w:val="14"/>
                <w:szCs w:val="14"/>
              </w:rPr>
              <w:t>14</w:t>
            </w:r>
          </w:p>
        </w:tc>
        <w:tc>
          <w:tcPr>
            <w:tcW w:w="581" w:type="dxa"/>
            <w:gridSpan w:val="2"/>
          </w:tcPr>
          <w:p w:rsidR="00E65B32" w:rsidRPr="00E61C8B" w:rsidRDefault="00E61C8B" w:rsidP="00E61C8B">
            <w:pPr>
              <w:widowControl/>
              <w:tabs>
                <w:tab w:val="decimal" w:pos="712"/>
              </w:tabs>
              <w:overflowPunct w:val="0"/>
              <w:textAlignment w:val="baseline"/>
              <w:rPr>
                <w:sz w:val="14"/>
                <w:szCs w:val="14"/>
              </w:rPr>
            </w:pPr>
            <w:r w:rsidRPr="00E61C8B">
              <w:rPr>
                <w:sz w:val="14"/>
                <w:szCs w:val="14"/>
              </w:rPr>
              <w:t>17</w:t>
            </w:r>
          </w:p>
        </w:tc>
        <w:tc>
          <w:tcPr>
            <w:tcW w:w="77" w:type="dxa"/>
            <w:gridSpan w:val="3"/>
          </w:tcPr>
          <w:p w:rsidR="00E65B32" w:rsidRPr="0053635E" w:rsidRDefault="00E65B32" w:rsidP="007B6C8B">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7B1E9E">
            <w:pPr>
              <w:widowControl/>
              <w:tabs>
                <w:tab w:val="decimal" w:pos="806"/>
              </w:tabs>
              <w:overflowPunct w:val="0"/>
              <w:textAlignment w:val="baseline"/>
              <w:rPr>
                <w:sz w:val="14"/>
                <w:szCs w:val="14"/>
                <w:highlight w:val="yellow"/>
              </w:rPr>
            </w:pPr>
          </w:p>
        </w:tc>
        <w:tc>
          <w:tcPr>
            <w:tcW w:w="936" w:type="dxa"/>
            <w:gridSpan w:val="3"/>
          </w:tcPr>
          <w:p w:rsidR="00E65B32" w:rsidRPr="00B44714" w:rsidRDefault="00B44714" w:rsidP="00B44714">
            <w:pPr>
              <w:widowControl/>
              <w:tabs>
                <w:tab w:val="decimal" w:pos="735"/>
              </w:tabs>
              <w:overflowPunct w:val="0"/>
              <w:textAlignment w:val="baseline"/>
              <w:rPr>
                <w:sz w:val="14"/>
                <w:szCs w:val="14"/>
              </w:rPr>
            </w:pPr>
            <w:r w:rsidRPr="00B44714">
              <w:rPr>
                <w:sz w:val="14"/>
                <w:szCs w:val="14"/>
              </w:rPr>
              <w:t>30</w:t>
            </w: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440"/>
              </w:tabs>
              <w:suppressAutoHyphens/>
              <w:ind w:left="200" w:hanging="200"/>
              <w:rPr>
                <w:sz w:val="14"/>
              </w:rPr>
            </w:pPr>
            <w:r w:rsidRPr="006C2959">
              <w:rPr>
                <w:sz w:val="14"/>
              </w:rPr>
              <w:t>(b)</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150,000</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Oct-2007</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Oct-2014</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5.512%</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15" w:type="dxa"/>
            <w:gridSpan w:val="2"/>
            <w:vAlign w:val="bottom"/>
          </w:tcPr>
          <w:p w:rsidR="00E65B32" w:rsidRPr="006F306D"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3,498</w:t>
            </w:r>
          </w:p>
        </w:tc>
        <w:tc>
          <w:tcPr>
            <w:tcW w:w="728" w:type="dxa"/>
            <w:gridSpan w:val="2"/>
          </w:tcPr>
          <w:p w:rsidR="00E65B32" w:rsidRPr="00B44714" w:rsidRDefault="00FB486B" w:rsidP="00FB486B">
            <w:pPr>
              <w:widowControl/>
              <w:tabs>
                <w:tab w:val="decimal" w:pos="563"/>
              </w:tabs>
              <w:overflowPunct w:val="0"/>
              <w:textAlignment w:val="baseline"/>
              <w:rPr>
                <w:sz w:val="14"/>
                <w:szCs w:val="14"/>
              </w:rPr>
            </w:pPr>
            <w:r>
              <w:rPr>
                <w:sz w:val="14"/>
                <w:szCs w:val="14"/>
              </w:rPr>
              <w:t>93</w:t>
            </w:r>
          </w:p>
        </w:tc>
        <w:tc>
          <w:tcPr>
            <w:tcW w:w="675" w:type="dxa"/>
            <w:gridSpan w:val="2"/>
          </w:tcPr>
          <w:p w:rsidR="00E65B32" w:rsidRPr="00B44714" w:rsidRDefault="00B44714" w:rsidP="00B44714">
            <w:pPr>
              <w:widowControl/>
              <w:tabs>
                <w:tab w:val="decimal" w:pos="712"/>
              </w:tabs>
              <w:overflowPunct w:val="0"/>
              <w:textAlignment w:val="baseline"/>
              <w:rPr>
                <w:sz w:val="14"/>
                <w:szCs w:val="14"/>
              </w:rPr>
            </w:pPr>
            <w:r w:rsidRPr="00B44714">
              <w:rPr>
                <w:sz w:val="14"/>
                <w:szCs w:val="14"/>
              </w:rPr>
              <w:t>46</w:t>
            </w:r>
          </w:p>
        </w:tc>
        <w:tc>
          <w:tcPr>
            <w:tcW w:w="581" w:type="dxa"/>
            <w:gridSpan w:val="2"/>
          </w:tcPr>
          <w:p w:rsidR="00E65B32" w:rsidRPr="00E61C8B" w:rsidRDefault="00E61C8B" w:rsidP="00E61C8B">
            <w:pPr>
              <w:widowControl/>
              <w:tabs>
                <w:tab w:val="decimal" w:pos="712"/>
              </w:tabs>
              <w:overflowPunct w:val="0"/>
              <w:textAlignment w:val="baseline"/>
              <w:rPr>
                <w:sz w:val="14"/>
                <w:szCs w:val="14"/>
              </w:rPr>
            </w:pPr>
            <w:r w:rsidRPr="00E61C8B">
              <w:rPr>
                <w:sz w:val="14"/>
                <w:szCs w:val="14"/>
              </w:rPr>
              <w:t>63</w:t>
            </w:r>
          </w:p>
        </w:tc>
        <w:tc>
          <w:tcPr>
            <w:tcW w:w="77" w:type="dxa"/>
            <w:gridSpan w:val="3"/>
          </w:tcPr>
          <w:p w:rsidR="00E65B32" w:rsidRPr="0053635E" w:rsidRDefault="00E65B32" w:rsidP="007B6C8B">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7B1E9E">
            <w:pPr>
              <w:widowControl/>
              <w:tabs>
                <w:tab w:val="decimal" w:pos="806"/>
              </w:tabs>
              <w:overflowPunct w:val="0"/>
              <w:textAlignment w:val="baseline"/>
              <w:rPr>
                <w:sz w:val="14"/>
                <w:szCs w:val="14"/>
                <w:highlight w:val="yellow"/>
              </w:rPr>
            </w:pPr>
          </w:p>
        </w:tc>
        <w:tc>
          <w:tcPr>
            <w:tcW w:w="936" w:type="dxa"/>
            <w:gridSpan w:val="3"/>
          </w:tcPr>
          <w:p w:rsidR="00E65B32" w:rsidRPr="00B44714" w:rsidRDefault="00B44714" w:rsidP="00B44714">
            <w:pPr>
              <w:widowControl/>
              <w:tabs>
                <w:tab w:val="decimal" w:pos="735"/>
              </w:tabs>
              <w:overflowPunct w:val="0"/>
              <w:textAlignment w:val="baseline"/>
              <w:rPr>
                <w:sz w:val="14"/>
                <w:szCs w:val="14"/>
              </w:rPr>
            </w:pPr>
            <w:r w:rsidRPr="00B44714">
              <w:rPr>
                <w:sz w:val="14"/>
                <w:szCs w:val="14"/>
              </w:rPr>
              <w:t>93</w:t>
            </w: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440"/>
              </w:tabs>
              <w:suppressAutoHyphens/>
              <w:ind w:left="200" w:hanging="200"/>
              <w:rPr>
                <w:sz w:val="14"/>
              </w:rPr>
            </w:pPr>
            <w:r w:rsidRPr="006C2959">
              <w:rPr>
                <w:sz w:val="14"/>
              </w:rPr>
              <w:t>(b)</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480,088</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Oct-2014</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Oct-2017</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5.436%</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15" w:type="dxa"/>
            <w:gridSpan w:val="2"/>
            <w:vAlign w:val="bottom"/>
          </w:tcPr>
          <w:p w:rsidR="00E65B32" w:rsidRPr="006F306D"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1,711</w:t>
            </w:r>
          </w:p>
        </w:tc>
        <w:tc>
          <w:tcPr>
            <w:tcW w:w="728" w:type="dxa"/>
            <w:gridSpan w:val="2"/>
          </w:tcPr>
          <w:p w:rsidR="00E65B32" w:rsidRPr="00B44714" w:rsidRDefault="00E65B32" w:rsidP="00C73C62">
            <w:pPr>
              <w:widowControl/>
              <w:tabs>
                <w:tab w:val="decimal" w:pos="563"/>
              </w:tabs>
              <w:overflowPunct w:val="0"/>
              <w:textAlignment w:val="baseline"/>
              <w:rPr>
                <w:sz w:val="14"/>
                <w:szCs w:val="14"/>
              </w:rPr>
            </w:pPr>
            <w:r w:rsidRPr="00B44714">
              <w:rPr>
                <w:sz w:val="14"/>
                <w:szCs w:val="14"/>
              </w:rPr>
              <w:t>1,711</w:t>
            </w:r>
          </w:p>
        </w:tc>
        <w:tc>
          <w:tcPr>
            <w:tcW w:w="675" w:type="dxa"/>
            <w:gridSpan w:val="2"/>
          </w:tcPr>
          <w:p w:rsidR="00E65B32" w:rsidRPr="00B44714" w:rsidRDefault="00E65B32" w:rsidP="00C73C62">
            <w:pPr>
              <w:widowControl/>
              <w:tabs>
                <w:tab w:val="decimal" w:pos="712"/>
              </w:tabs>
              <w:overflowPunct w:val="0"/>
              <w:textAlignment w:val="baseline"/>
              <w:rPr>
                <w:sz w:val="14"/>
                <w:szCs w:val="14"/>
              </w:rPr>
            </w:pPr>
            <w:r w:rsidRPr="00B44714">
              <w:rPr>
                <w:sz w:val="14"/>
                <w:szCs w:val="14"/>
              </w:rPr>
              <w:t>–</w:t>
            </w:r>
          </w:p>
        </w:tc>
        <w:tc>
          <w:tcPr>
            <w:tcW w:w="581" w:type="dxa"/>
            <w:gridSpan w:val="2"/>
          </w:tcPr>
          <w:p w:rsidR="00E65B32" w:rsidRPr="00E61C8B" w:rsidRDefault="00E65B32" w:rsidP="00C73C62">
            <w:pPr>
              <w:widowControl/>
              <w:tabs>
                <w:tab w:val="decimal" w:pos="712"/>
              </w:tabs>
              <w:overflowPunct w:val="0"/>
              <w:textAlignment w:val="baseline"/>
              <w:rPr>
                <w:sz w:val="14"/>
                <w:szCs w:val="14"/>
              </w:rPr>
            </w:pPr>
            <w:r w:rsidRPr="00E61C8B">
              <w:rPr>
                <w:sz w:val="14"/>
                <w:szCs w:val="14"/>
              </w:rPr>
              <w:t>–</w:t>
            </w:r>
          </w:p>
        </w:tc>
        <w:tc>
          <w:tcPr>
            <w:tcW w:w="77" w:type="dxa"/>
            <w:gridSpan w:val="3"/>
          </w:tcPr>
          <w:p w:rsidR="00E65B32" w:rsidRPr="0053635E" w:rsidRDefault="00E65B32" w:rsidP="00C73C62">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C73C62">
            <w:pPr>
              <w:widowControl/>
              <w:tabs>
                <w:tab w:val="decimal" w:pos="806"/>
              </w:tabs>
              <w:overflowPunct w:val="0"/>
              <w:textAlignment w:val="baseline"/>
              <w:rPr>
                <w:sz w:val="14"/>
                <w:szCs w:val="14"/>
                <w:highlight w:val="yellow"/>
              </w:rPr>
            </w:pPr>
          </w:p>
        </w:tc>
        <w:tc>
          <w:tcPr>
            <w:tcW w:w="936" w:type="dxa"/>
            <w:gridSpan w:val="3"/>
          </w:tcPr>
          <w:p w:rsidR="00E65B32" w:rsidRPr="00B44714" w:rsidRDefault="00B44714" w:rsidP="00B44714">
            <w:pPr>
              <w:widowControl/>
              <w:tabs>
                <w:tab w:val="decimal" w:pos="735"/>
              </w:tabs>
              <w:overflowPunct w:val="0"/>
              <w:textAlignment w:val="baseline"/>
              <w:rPr>
                <w:sz w:val="14"/>
                <w:szCs w:val="14"/>
              </w:rPr>
            </w:pPr>
            <w:r w:rsidRPr="00B44714">
              <w:rPr>
                <w:sz w:val="14"/>
                <w:szCs w:val="14"/>
              </w:rPr>
              <w:t>325</w:t>
            </w: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736"/>
              </w:tabs>
              <w:suppressAutoHyphens/>
              <w:ind w:left="200" w:hanging="200"/>
              <w:rPr>
                <w:sz w:val="14"/>
              </w:rPr>
            </w:pPr>
            <w:r w:rsidRPr="006C2959">
              <w:rPr>
                <w:sz w:val="14"/>
              </w:rPr>
              <w:t>(b)</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480,088</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Oct-2014</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Oct-2017</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5.436%</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15" w:type="dxa"/>
            <w:gridSpan w:val="2"/>
            <w:vAlign w:val="bottom"/>
          </w:tcPr>
          <w:p w:rsidR="00E65B32" w:rsidRPr="006F306D"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1,526</w:t>
            </w:r>
          </w:p>
        </w:tc>
        <w:tc>
          <w:tcPr>
            <w:tcW w:w="728" w:type="dxa"/>
            <w:gridSpan w:val="2"/>
          </w:tcPr>
          <w:p w:rsidR="00E65B32" w:rsidRPr="00B44714" w:rsidRDefault="00E65B32" w:rsidP="00C73C62">
            <w:pPr>
              <w:widowControl/>
              <w:tabs>
                <w:tab w:val="decimal" w:pos="563"/>
              </w:tabs>
              <w:overflowPunct w:val="0"/>
              <w:textAlignment w:val="baseline"/>
              <w:rPr>
                <w:sz w:val="14"/>
                <w:szCs w:val="14"/>
              </w:rPr>
            </w:pPr>
            <w:r w:rsidRPr="00B44714">
              <w:rPr>
                <w:sz w:val="14"/>
                <w:szCs w:val="14"/>
              </w:rPr>
              <w:t>1,526</w:t>
            </w:r>
          </w:p>
        </w:tc>
        <w:tc>
          <w:tcPr>
            <w:tcW w:w="675" w:type="dxa"/>
            <w:gridSpan w:val="2"/>
          </w:tcPr>
          <w:p w:rsidR="00E65B32" w:rsidRPr="00B44714" w:rsidRDefault="00E65B32" w:rsidP="00C73C62">
            <w:pPr>
              <w:widowControl/>
              <w:tabs>
                <w:tab w:val="decimal" w:pos="712"/>
              </w:tabs>
              <w:overflowPunct w:val="0"/>
              <w:textAlignment w:val="baseline"/>
              <w:rPr>
                <w:sz w:val="14"/>
                <w:szCs w:val="14"/>
              </w:rPr>
            </w:pPr>
            <w:r w:rsidRPr="00B44714">
              <w:rPr>
                <w:sz w:val="14"/>
                <w:szCs w:val="14"/>
              </w:rPr>
              <w:t>–</w:t>
            </w:r>
          </w:p>
        </w:tc>
        <w:tc>
          <w:tcPr>
            <w:tcW w:w="581" w:type="dxa"/>
            <w:gridSpan w:val="2"/>
          </w:tcPr>
          <w:p w:rsidR="00E65B32" w:rsidRPr="00E61C8B" w:rsidRDefault="00E65B32" w:rsidP="00C73C62">
            <w:pPr>
              <w:widowControl/>
              <w:tabs>
                <w:tab w:val="decimal" w:pos="712"/>
              </w:tabs>
              <w:overflowPunct w:val="0"/>
              <w:textAlignment w:val="baseline"/>
              <w:rPr>
                <w:sz w:val="14"/>
                <w:szCs w:val="14"/>
              </w:rPr>
            </w:pPr>
            <w:r w:rsidRPr="00E61C8B">
              <w:rPr>
                <w:sz w:val="14"/>
                <w:szCs w:val="14"/>
              </w:rPr>
              <w:t>–</w:t>
            </w:r>
          </w:p>
        </w:tc>
        <w:tc>
          <w:tcPr>
            <w:tcW w:w="77" w:type="dxa"/>
            <w:gridSpan w:val="3"/>
          </w:tcPr>
          <w:p w:rsidR="00E65B32" w:rsidRPr="0053635E" w:rsidRDefault="00E65B32" w:rsidP="00C73C62">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C73C62">
            <w:pPr>
              <w:widowControl/>
              <w:tabs>
                <w:tab w:val="decimal" w:pos="806"/>
              </w:tabs>
              <w:overflowPunct w:val="0"/>
              <w:textAlignment w:val="baseline"/>
              <w:rPr>
                <w:sz w:val="14"/>
                <w:szCs w:val="14"/>
                <w:highlight w:val="yellow"/>
              </w:rPr>
            </w:pPr>
          </w:p>
        </w:tc>
        <w:tc>
          <w:tcPr>
            <w:tcW w:w="936" w:type="dxa"/>
            <w:gridSpan w:val="3"/>
          </w:tcPr>
          <w:p w:rsidR="00E65B32" w:rsidRPr="00B44714" w:rsidRDefault="00B44714" w:rsidP="00B44714">
            <w:pPr>
              <w:widowControl/>
              <w:tabs>
                <w:tab w:val="decimal" w:pos="735"/>
              </w:tabs>
              <w:overflowPunct w:val="0"/>
              <w:textAlignment w:val="baseline"/>
              <w:rPr>
                <w:sz w:val="14"/>
                <w:szCs w:val="14"/>
              </w:rPr>
            </w:pPr>
            <w:r w:rsidRPr="00B44714">
              <w:rPr>
                <w:sz w:val="14"/>
                <w:szCs w:val="14"/>
              </w:rPr>
              <w:t>332</w:t>
            </w: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440"/>
              </w:tabs>
              <w:suppressAutoHyphens/>
              <w:ind w:left="200" w:hanging="200"/>
              <w:rPr>
                <w:sz w:val="14"/>
              </w:rPr>
            </w:pPr>
            <w:r w:rsidRPr="006C2959">
              <w:rPr>
                <w:sz w:val="14"/>
              </w:rPr>
              <w:t>(a)</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163,333</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Nov-2007</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Jul-2014</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4.605%</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15" w:type="dxa"/>
            <w:gridSpan w:val="2"/>
            <w:vAlign w:val="bottom"/>
          </w:tcPr>
          <w:p w:rsidR="00E65B32" w:rsidRPr="006F306D"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2,082</w:t>
            </w:r>
          </w:p>
        </w:tc>
        <w:tc>
          <w:tcPr>
            <w:tcW w:w="728" w:type="dxa"/>
            <w:gridSpan w:val="2"/>
          </w:tcPr>
          <w:p w:rsidR="00E65B32" w:rsidRPr="00B44714" w:rsidRDefault="00E65B32" w:rsidP="00387502">
            <w:pPr>
              <w:widowControl/>
              <w:tabs>
                <w:tab w:val="decimal" w:pos="563"/>
              </w:tabs>
              <w:overflowPunct w:val="0"/>
              <w:textAlignment w:val="baseline"/>
              <w:rPr>
                <w:sz w:val="14"/>
                <w:szCs w:val="14"/>
              </w:rPr>
            </w:pPr>
            <w:r w:rsidRPr="00B44714">
              <w:rPr>
                <w:sz w:val="14"/>
                <w:szCs w:val="14"/>
              </w:rPr>
              <w:t>(</w:t>
            </w:r>
            <w:r w:rsidR="00B44714" w:rsidRPr="00B44714">
              <w:rPr>
                <w:sz w:val="14"/>
                <w:szCs w:val="14"/>
              </w:rPr>
              <w:t>1</w:t>
            </w:r>
            <w:r w:rsidR="00FB486B">
              <w:rPr>
                <w:sz w:val="14"/>
                <w:szCs w:val="14"/>
              </w:rPr>
              <w:t>0</w:t>
            </w:r>
            <w:r w:rsidR="00387502">
              <w:rPr>
                <w:sz w:val="14"/>
                <w:szCs w:val="14"/>
              </w:rPr>
              <w:t>7</w:t>
            </w:r>
            <w:r w:rsidRPr="00B44714">
              <w:rPr>
                <w:sz w:val="14"/>
                <w:szCs w:val="14"/>
              </w:rPr>
              <w:t>)</w:t>
            </w:r>
          </w:p>
        </w:tc>
        <w:tc>
          <w:tcPr>
            <w:tcW w:w="675" w:type="dxa"/>
            <w:gridSpan w:val="2"/>
          </w:tcPr>
          <w:p w:rsidR="00E65B32" w:rsidRPr="00B44714" w:rsidRDefault="003E3ABA" w:rsidP="00B44714">
            <w:pPr>
              <w:widowControl/>
              <w:tabs>
                <w:tab w:val="decimal" w:pos="712"/>
              </w:tabs>
              <w:overflowPunct w:val="0"/>
              <w:textAlignment w:val="baseline"/>
              <w:rPr>
                <w:sz w:val="14"/>
                <w:szCs w:val="14"/>
              </w:rPr>
            </w:pPr>
            <w:r w:rsidRPr="00B44714">
              <w:rPr>
                <w:sz w:val="14"/>
                <w:szCs w:val="14"/>
              </w:rPr>
              <w:t>(</w:t>
            </w:r>
            <w:r w:rsidR="00B44714" w:rsidRPr="00B44714">
              <w:rPr>
                <w:sz w:val="14"/>
                <w:szCs w:val="14"/>
              </w:rPr>
              <w:t>59</w:t>
            </w:r>
            <w:r w:rsidRPr="00B44714">
              <w:rPr>
                <w:sz w:val="14"/>
                <w:szCs w:val="14"/>
              </w:rPr>
              <w:t>)</w:t>
            </w:r>
          </w:p>
        </w:tc>
        <w:tc>
          <w:tcPr>
            <w:tcW w:w="581" w:type="dxa"/>
            <w:gridSpan w:val="2"/>
          </w:tcPr>
          <w:p w:rsidR="00E65B32" w:rsidRPr="00E61C8B" w:rsidRDefault="00E61C8B" w:rsidP="00E61C8B">
            <w:pPr>
              <w:widowControl/>
              <w:tabs>
                <w:tab w:val="decimal" w:pos="712"/>
              </w:tabs>
              <w:overflowPunct w:val="0"/>
              <w:textAlignment w:val="baseline"/>
              <w:rPr>
                <w:sz w:val="14"/>
                <w:szCs w:val="14"/>
              </w:rPr>
            </w:pPr>
            <w:r w:rsidRPr="00E61C8B">
              <w:rPr>
                <w:sz w:val="14"/>
                <w:szCs w:val="14"/>
              </w:rPr>
              <w:t>2</w:t>
            </w:r>
          </w:p>
        </w:tc>
        <w:tc>
          <w:tcPr>
            <w:tcW w:w="77" w:type="dxa"/>
            <w:gridSpan w:val="3"/>
          </w:tcPr>
          <w:p w:rsidR="00E65B32" w:rsidRPr="0053635E" w:rsidRDefault="00E65B32" w:rsidP="007B6C8B">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7B1E9E">
            <w:pPr>
              <w:widowControl/>
              <w:tabs>
                <w:tab w:val="decimal" w:pos="806"/>
              </w:tabs>
              <w:overflowPunct w:val="0"/>
              <w:textAlignment w:val="baseline"/>
              <w:rPr>
                <w:sz w:val="14"/>
                <w:szCs w:val="14"/>
                <w:highlight w:val="yellow"/>
              </w:rPr>
            </w:pPr>
          </w:p>
        </w:tc>
        <w:tc>
          <w:tcPr>
            <w:tcW w:w="936" w:type="dxa"/>
            <w:gridSpan w:val="3"/>
          </w:tcPr>
          <w:p w:rsidR="00E65B32" w:rsidRPr="00B44714" w:rsidRDefault="00E07DAF" w:rsidP="00B44714">
            <w:pPr>
              <w:widowControl/>
              <w:tabs>
                <w:tab w:val="decimal" w:pos="735"/>
              </w:tabs>
              <w:overflowPunct w:val="0"/>
              <w:textAlignment w:val="baseline"/>
              <w:rPr>
                <w:sz w:val="14"/>
                <w:szCs w:val="14"/>
              </w:rPr>
            </w:pPr>
            <w:r w:rsidRPr="00B44714">
              <w:rPr>
                <w:sz w:val="14"/>
                <w:szCs w:val="14"/>
              </w:rPr>
              <w:t>(</w:t>
            </w:r>
            <w:r w:rsidR="00B44714" w:rsidRPr="00B44714">
              <w:rPr>
                <w:sz w:val="14"/>
                <w:szCs w:val="14"/>
              </w:rPr>
              <w:t>106</w:t>
            </w:r>
            <w:r w:rsidRPr="00B44714">
              <w:rPr>
                <w:sz w:val="14"/>
                <w:szCs w:val="14"/>
              </w:rPr>
              <w:t>)</w:t>
            </w: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440"/>
              </w:tabs>
              <w:suppressAutoHyphens/>
              <w:ind w:left="200" w:hanging="200"/>
              <w:rPr>
                <w:sz w:val="14"/>
              </w:rPr>
            </w:pPr>
            <w:r w:rsidRPr="006C2959">
              <w:rPr>
                <w:sz w:val="14"/>
              </w:rPr>
              <w:t>(b)</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332,525</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Oct-2007</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Oct-2014</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4.743%</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15" w:type="dxa"/>
            <w:gridSpan w:val="2"/>
            <w:vAlign w:val="bottom"/>
          </w:tcPr>
          <w:p w:rsidR="00E65B32" w:rsidRPr="006F306D"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7,641</w:t>
            </w:r>
          </w:p>
        </w:tc>
        <w:tc>
          <w:tcPr>
            <w:tcW w:w="728" w:type="dxa"/>
            <w:gridSpan w:val="2"/>
          </w:tcPr>
          <w:p w:rsidR="00E65B32" w:rsidRPr="00B44714" w:rsidRDefault="005254B6" w:rsidP="00FB486B">
            <w:pPr>
              <w:widowControl/>
              <w:tabs>
                <w:tab w:val="decimal" w:pos="563"/>
              </w:tabs>
              <w:overflowPunct w:val="0"/>
              <w:textAlignment w:val="baseline"/>
              <w:rPr>
                <w:sz w:val="14"/>
                <w:szCs w:val="14"/>
              </w:rPr>
            </w:pPr>
            <w:r w:rsidRPr="00B44714">
              <w:rPr>
                <w:sz w:val="14"/>
                <w:szCs w:val="14"/>
              </w:rPr>
              <w:t>(</w:t>
            </w:r>
            <w:r w:rsidR="00FB486B">
              <w:rPr>
                <w:sz w:val="14"/>
                <w:szCs w:val="14"/>
              </w:rPr>
              <w:t>1</w:t>
            </w:r>
            <w:r w:rsidR="00B44714" w:rsidRPr="00B44714">
              <w:rPr>
                <w:sz w:val="14"/>
                <w:szCs w:val="14"/>
              </w:rPr>
              <w:t>4</w:t>
            </w:r>
            <w:r w:rsidR="00FB486B">
              <w:rPr>
                <w:sz w:val="14"/>
                <w:szCs w:val="14"/>
              </w:rPr>
              <w:t>8</w:t>
            </w:r>
            <w:r w:rsidRPr="00B44714">
              <w:rPr>
                <w:sz w:val="14"/>
                <w:szCs w:val="14"/>
              </w:rPr>
              <w:t>)</w:t>
            </w:r>
          </w:p>
        </w:tc>
        <w:tc>
          <w:tcPr>
            <w:tcW w:w="675" w:type="dxa"/>
            <w:gridSpan w:val="2"/>
          </w:tcPr>
          <w:p w:rsidR="00E65B32" w:rsidRPr="00B44714" w:rsidRDefault="00B44714" w:rsidP="00B44714">
            <w:pPr>
              <w:widowControl/>
              <w:tabs>
                <w:tab w:val="decimal" w:pos="712"/>
              </w:tabs>
              <w:overflowPunct w:val="0"/>
              <w:textAlignment w:val="baseline"/>
              <w:rPr>
                <w:sz w:val="14"/>
                <w:szCs w:val="14"/>
              </w:rPr>
            </w:pPr>
            <w:r w:rsidRPr="00B44714">
              <w:rPr>
                <w:sz w:val="14"/>
                <w:szCs w:val="14"/>
              </w:rPr>
              <w:t>(19)</w:t>
            </w:r>
          </w:p>
        </w:tc>
        <w:tc>
          <w:tcPr>
            <w:tcW w:w="581" w:type="dxa"/>
            <w:gridSpan w:val="2"/>
          </w:tcPr>
          <w:p w:rsidR="00E65B32" w:rsidRPr="00E61C8B" w:rsidRDefault="00E61C8B" w:rsidP="00E61C8B">
            <w:pPr>
              <w:widowControl/>
              <w:tabs>
                <w:tab w:val="decimal" w:pos="712"/>
              </w:tabs>
              <w:overflowPunct w:val="0"/>
              <w:textAlignment w:val="baseline"/>
              <w:rPr>
                <w:sz w:val="14"/>
                <w:szCs w:val="14"/>
              </w:rPr>
            </w:pPr>
            <w:r w:rsidRPr="00E61C8B">
              <w:rPr>
                <w:sz w:val="14"/>
                <w:szCs w:val="14"/>
              </w:rPr>
              <w:t>54</w:t>
            </w:r>
          </w:p>
        </w:tc>
        <w:tc>
          <w:tcPr>
            <w:tcW w:w="77" w:type="dxa"/>
            <w:gridSpan w:val="3"/>
          </w:tcPr>
          <w:p w:rsidR="00E65B32" w:rsidRPr="0053635E" w:rsidRDefault="00E65B32" w:rsidP="007B6C8B">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7B1E9E">
            <w:pPr>
              <w:widowControl/>
              <w:tabs>
                <w:tab w:val="decimal" w:pos="806"/>
              </w:tabs>
              <w:overflowPunct w:val="0"/>
              <w:textAlignment w:val="baseline"/>
              <w:rPr>
                <w:sz w:val="14"/>
                <w:szCs w:val="14"/>
                <w:highlight w:val="yellow"/>
              </w:rPr>
            </w:pPr>
          </w:p>
        </w:tc>
        <w:tc>
          <w:tcPr>
            <w:tcW w:w="936" w:type="dxa"/>
            <w:gridSpan w:val="3"/>
          </w:tcPr>
          <w:p w:rsidR="00E65B32" w:rsidRPr="00B44714" w:rsidRDefault="00E07DAF" w:rsidP="00B44714">
            <w:pPr>
              <w:widowControl/>
              <w:tabs>
                <w:tab w:val="decimal" w:pos="735"/>
              </w:tabs>
              <w:overflowPunct w:val="0"/>
              <w:textAlignment w:val="baseline"/>
              <w:rPr>
                <w:sz w:val="14"/>
                <w:szCs w:val="14"/>
              </w:rPr>
            </w:pPr>
            <w:r w:rsidRPr="00B44714">
              <w:rPr>
                <w:sz w:val="14"/>
                <w:szCs w:val="14"/>
              </w:rPr>
              <w:t>(</w:t>
            </w:r>
            <w:r w:rsidR="00B44714" w:rsidRPr="00B44714">
              <w:rPr>
                <w:sz w:val="14"/>
                <w:szCs w:val="14"/>
              </w:rPr>
              <w:t>148</w:t>
            </w:r>
            <w:r w:rsidRPr="00B44714">
              <w:rPr>
                <w:sz w:val="14"/>
                <w:szCs w:val="14"/>
              </w:rPr>
              <w:t>)</w:t>
            </w: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440"/>
              </w:tabs>
              <w:suppressAutoHyphens/>
              <w:ind w:left="200" w:hanging="200"/>
              <w:rPr>
                <w:sz w:val="14"/>
              </w:rPr>
            </w:pPr>
            <w:r w:rsidRPr="006C2959">
              <w:rPr>
                <w:sz w:val="14"/>
              </w:rPr>
              <w:t>(a)</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58,238</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Nov-2007</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Oct-2017</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4.305%</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15" w:type="dxa"/>
            <w:gridSpan w:val="2"/>
            <w:vAlign w:val="bottom"/>
          </w:tcPr>
          <w:p w:rsidR="00E65B32" w:rsidRPr="006F306D"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862</w:t>
            </w:r>
          </w:p>
        </w:tc>
        <w:tc>
          <w:tcPr>
            <w:tcW w:w="728" w:type="dxa"/>
            <w:gridSpan w:val="2"/>
          </w:tcPr>
          <w:p w:rsidR="00E65B32" w:rsidRPr="00B44714" w:rsidRDefault="00E65B32" w:rsidP="00FB486B">
            <w:pPr>
              <w:widowControl/>
              <w:tabs>
                <w:tab w:val="decimal" w:pos="563"/>
              </w:tabs>
              <w:overflowPunct w:val="0"/>
              <w:textAlignment w:val="baseline"/>
              <w:rPr>
                <w:sz w:val="14"/>
                <w:szCs w:val="14"/>
              </w:rPr>
            </w:pPr>
            <w:r w:rsidRPr="00B44714">
              <w:rPr>
                <w:sz w:val="14"/>
                <w:szCs w:val="14"/>
              </w:rPr>
              <w:t>(</w:t>
            </w:r>
            <w:r w:rsidR="00FB486B">
              <w:rPr>
                <w:sz w:val="14"/>
                <w:szCs w:val="14"/>
              </w:rPr>
              <w:t>149</w:t>
            </w:r>
            <w:r w:rsidRPr="00B44714">
              <w:rPr>
                <w:sz w:val="14"/>
                <w:szCs w:val="14"/>
              </w:rPr>
              <w:t>)</w:t>
            </w:r>
          </w:p>
        </w:tc>
        <w:tc>
          <w:tcPr>
            <w:tcW w:w="675" w:type="dxa"/>
            <w:gridSpan w:val="2"/>
          </w:tcPr>
          <w:p w:rsidR="00E65B32" w:rsidRPr="00B44714" w:rsidRDefault="00E65B32" w:rsidP="00B44714">
            <w:pPr>
              <w:widowControl/>
              <w:tabs>
                <w:tab w:val="decimal" w:pos="712"/>
              </w:tabs>
              <w:overflowPunct w:val="0"/>
              <w:textAlignment w:val="baseline"/>
              <w:rPr>
                <w:sz w:val="14"/>
                <w:szCs w:val="14"/>
              </w:rPr>
            </w:pPr>
            <w:r w:rsidRPr="00B44714">
              <w:rPr>
                <w:sz w:val="14"/>
                <w:szCs w:val="14"/>
              </w:rPr>
              <w:t>(</w:t>
            </w:r>
            <w:r w:rsidR="003E3ABA" w:rsidRPr="00B44714">
              <w:rPr>
                <w:sz w:val="14"/>
                <w:szCs w:val="14"/>
              </w:rPr>
              <w:t>1</w:t>
            </w:r>
            <w:r w:rsidR="00B44714" w:rsidRPr="00B44714">
              <w:rPr>
                <w:sz w:val="14"/>
                <w:szCs w:val="14"/>
              </w:rPr>
              <w:t>5</w:t>
            </w:r>
            <w:r w:rsidRPr="00B44714">
              <w:rPr>
                <w:sz w:val="14"/>
                <w:szCs w:val="14"/>
              </w:rPr>
              <w:t>)</w:t>
            </w:r>
          </w:p>
        </w:tc>
        <w:tc>
          <w:tcPr>
            <w:tcW w:w="581" w:type="dxa"/>
            <w:gridSpan w:val="2"/>
          </w:tcPr>
          <w:p w:rsidR="00E65B32" w:rsidRPr="00E61C8B" w:rsidRDefault="00E65B32" w:rsidP="00E61C8B">
            <w:pPr>
              <w:widowControl/>
              <w:tabs>
                <w:tab w:val="decimal" w:pos="712"/>
              </w:tabs>
              <w:overflowPunct w:val="0"/>
              <w:textAlignment w:val="baseline"/>
              <w:rPr>
                <w:sz w:val="14"/>
                <w:szCs w:val="14"/>
              </w:rPr>
            </w:pPr>
            <w:r w:rsidRPr="00E61C8B">
              <w:rPr>
                <w:sz w:val="14"/>
                <w:szCs w:val="14"/>
              </w:rPr>
              <w:t>(</w:t>
            </w:r>
            <w:r w:rsidR="00E61C8B" w:rsidRPr="00E61C8B">
              <w:rPr>
                <w:sz w:val="14"/>
                <w:szCs w:val="14"/>
              </w:rPr>
              <w:t>13</w:t>
            </w:r>
            <w:r w:rsidRPr="00E61C8B">
              <w:rPr>
                <w:sz w:val="14"/>
                <w:szCs w:val="14"/>
              </w:rPr>
              <w:t>)</w:t>
            </w:r>
          </w:p>
        </w:tc>
        <w:tc>
          <w:tcPr>
            <w:tcW w:w="77" w:type="dxa"/>
            <w:gridSpan w:val="3"/>
          </w:tcPr>
          <w:p w:rsidR="00E65B32" w:rsidRPr="0053635E" w:rsidRDefault="00E65B32" w:rsidP="007B6C8B">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7B1E9E">
            <w:pPr>
              <w:widowControl/>
              <w:tabs>
                <w:tab w:val="decimal" w:pos="806"/>
              </w:tabs>
              <w:overflowPunct w:val="0"/>
              <w:textAlignment w:val="baseline"/>
              <w:rPr>
                <w:sz w:val="14"/>
                <w:szCs w:val="14"/>
                <w:highlight w:val="yellow"/>
              </w:rPr>
            </w:pPr>
          </w:p>
        </w:tc>
        <w:tc>
          <w:tcPr>
            <w:tcW w:w="936" w:type="dxa"/>
            <w:gridSpan w:val="3"/>
          </w:tcPr>
          <w:p w:rsidR="00E65B32" w:rsidRPr="00B44714" w:rsidRDefault="00E65B32" w:rsidP="004002DD">
            <w:pPr>
              <w:widowControl/>
              <w:tabs>
                <w:tab w:val="decimal" w:pos="735"/>
              </w:tabs>
              <w:overflowPunct w:val="0"/>
              <w:textAlignment w:val="baseline"/>
              <w:rPr>
                <w:sz w:val="14"/>
                <w:szCs w:val="14"/>
              </w:rPr>
            </w:pPr>
            <w:r w:rsidRPr="00B44714">
              <w:rPr>
                <w:sz w:val="14"/>
                <w:szCs w:val="14"/>
              </w:rPr>
              <w:t>(</w:t>
            </w:r>
            <w:r w:rsidR="00E07DAF" w:rsidRPr="00B44714">
              <w:rPr>
                <w:sz w:val="14"/>
                <w:szCs w:val="14"/>
              </w:rPr>
              <w:t>6</w:t>
            </w:r>
            <w:r w:rsidR="004002DD" w:rsidRPr="00B44714">
              <w:rPr>
                <w:sz w:val="14"/>
                <w:szCs w:val="14"/>
              </w:rPr>
              <w:t>2</w:t>
            </w:r>
            <w:r w:rsidRPr="00B44714">
              <w:rPr>
                <w:sz w:val="14"/>
                <w:szCs w:val="14"/>
              </w:rPr>
              <w:t>)</w:t>
            </w: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440"/>
              </w:tabs>
              <w:suppressAutoHyphens/>
              <w:ind w:left="200" w:hanging="200"/>
              <w:rPr>
                <w:sz w:val="14"/>
              </w:rPr>
            </w:pPr>
            <w:r w:rsidRPr="006C2959">
              <w:rPr>
                <w:sz w:val="14"/>
              </w:rPr>
              <w:t>(a)</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193,333</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Nov-2007</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Jul-2017</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4.365%</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15" w:type="dxa"/>
            <w:gridSpan w:val="2"/>
            <w:vAlign w:val="bottom"/>
          </w:tcPr>
          <w:p w:rsidR="00E65B32" w:rsidRPr="006F306D"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3,265</w:t>
            </w:r>
          </w:p>
        </w:tc>
        <w:tc>
          <w:tcPr>
            <w:tcW w:w="728" w:type="dxa"/>
            <w:gridSpan w:val="2"/>
          </w:tcPr>
          <w:p w:rsidR="00E65B32" w:rsidRPr="00B44714" w:rsidRDefault="00E65B32" w:rsidP="00FB486B">
            <w:pPr>
              <w:widowControl/>
              <w:tabs>
                <w:tab w:val="decimal" w:pos="563"/>
              </w:tabs>
              <w:overflowPunct w:val="0"/>
              <w:textAlignment w:val="baseline"/>
              <w:rPr>
                <w:sz w:val="14"/>
                <w:szCs w:val="14"/>
              </w:rPr>
            </w:pPr>
            <w:r w:rsidRPr="00B44714">
              <w:rPr>
                <w:sz w:val="14"/>
                <w:szCs w:val="14"/>
              </w:rPr>
              <w:t>(</w:t>
            </w:r>
            <w:r w:rsidR="00FB486B">
              <w:rPr>
                <w:sz w:val="14"/>
                <w:szCs w:val="14"/>
              </w:rPr>
              <w:t>527</w:t>
            </w:r>
            <w:r w:rsidRPr="00B44714">
              <w:rPr>
                <w:sz w:val="14"/>
                <w:szCs w:val="14"/>
              </w:rPr>
              <w:t>)</w:t>
            </w:r>
          </w:p>
        </w:tc>
        <w:tc>
          <w:tcPr>
            <w:tcW w:w="675" w:type="dxa"/>
            <w:gridSpan w:val="2"/>
          </w:tcPr>
          <w:p w:rsidR="00E65B32" w:rsidRPr="00B44714" w:rsidRDefault="00E65B32" w:rsidP="00B44714">
            <w:pPr>
              <w:widowControl/>
              <w:tabs>
                <w:tab w:val="decimal" w:pos="712"/>
              </w:tabs>
              <w:overflowPunct w:val="0"/>
              <w:textAlignment w:val="baseline"/>
              <w:rPr>
                <w:sz w:val="14"/>
                <w:szCs w:val="14"/>
              </w:rPr>
            </w:pPr>
            <w:r w:rsidRPr="00B44714">
              <w:rPr>
                <w:sz w:val="14"/>
                <w:szCs w:val="14"/>
              </w:rPr>
              <w:t>(</w:t>
            </w:r>
            <w:r w:rsidR="00B44714" w:rsidRPr="00B44714">
              <w:rPr>
                <w:sz w:val="14"/>
                <w:szCs w:val="14"/>
              </w:rPr>
              <w:t>60</w:t>
            </w:r>
            <w:r w:rsidRPr="00B44714">
              <w:rPr>
                <w:sz w:val="14"/>
                <w:szCs w:val="14"/>
              </w:rPr>
              <w:t>)</w:t>
            </w:r>
          </w:p>
        </w:tc>
        <w:tc>
          <w:tcPr>
            <w:tcW w:w="581" w:type="dxa"/>
            <w:gridSpan w:val="2"/>
          </w:tcPr>
          <w:p w:rsidR="00E65B32" w:rsidRPr="00E61C8B" w:rsidRDefault="00E65B32" w:rsidP="00E61C8B">
            <w:pPr>
              <w:widowControl/>
              <w:tabs>
                <w:tab w:val="decimal" w:pos="712"/>
              </w:tabs>
              <w:overflowPunct w:val="0"/>
              <w:textAlignment w:val="baseline"/>
              <w:rPr>
                <w:sz w:val="14"/>
                <w:szCs w:val="14"/>
              </w:rPr>
            </w:pPr>
            <w:r w:rsidRPr="00E61C8B">
              <w:rPr>
                <w:sz w:val="14"/>
                <w:szCs w:val="14"/>
              </w:rPr>
              <w:t>(</w:t>
            </w:r>
            <w:r w:rsidR="00E61C8B" w:rsidRPr="00E61C8B">
              <w:rPr>
                <w:sz w:val="14"/>
                <w:szCs w:val="14"/>
              </w:rPr>
              <w:t>42</w:t>
            </w:r>
            <w:r w:rsidRPr="00E61C8B">
              <w:rPr>
                <w:sz w:val="14"/>
                <w:szCs w:val="14"/>
              </w:rPr>
              <w:t>)</w:t>
            </w:r>
          </w:p>
        </w:tc>
        <w:tc>
          <w:tcPr>
            <w:tcW w:w="77" w:type="dxa"/>
            <w:gridSpan w:val="3"/>
          </w:tcPr>
          <w:p w:rsidR="00E65B32" w:rsidRPr="0053635E" w:rsidRDefault="00E65B32" w:rsidP="007B6C8B">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7B1E9E">
            <w:pPr>
              <w:widowControl/>
              <w:tabs>
                <w:tab w:val="decimal" w:pos="806"/>
              </w:tabs>
              <w:overflowPunct w:val="0"/>
              <w:textAlignment w:val="baseline"/>
              <w:rPr>
                <w:sz w:val="14"/>
                <w:szCs w:val="14"/>
                <w:highlight w:val="yellow"/>
              </w:rPr>
            </w:pPr>
          </w:p>
        </w:tc>
        <w:tc>
          <w:tcPr>
            <w:tcW w:w="936" w:type="dxa"/>
            <w:gridSpan w:val="3"/>
          </w:tcPr>
          <w:p w:rsidR="00E65B32" w:rsidRPr="00B44714" w:rsidRDefault="00E65B32" w:rsidP="00B44714">
            <w:pPr>
              <w:widowControl/>
              <w:tabs>
                <w:tab w:val="decimal" w:pos="735"/>
              </w:tabs>
              <w:overflowPunct w:val="0"/>
              <w:textAlignment w:val="baseline"/>
              <w:rPr>
                <w:sz w:val="14"/>
                <w:szCs w:val="14"/>
              </w:rPr>
            </w:pPr>
            <w:r w:rsidRPr="00B44714">
              <w:rPr>
                <w:sz w:val="14"/>
                <w:szCs w:val="14"/>
              </w:rPr>
              <w:t>(</w:t>
            </w:r>
            <w:r w:rsidR="00E07DAF" w:rsidRPr="00B44714">
              <w:rPr>
                <w:sz w:val="14"/>
                <w:szCs w:val="14"/>
              </w:rPr>
              <w:t>2</w:t>
            </w:r>
            <w:r w:rsidR="004002DD" w:rsidRPr="00B44714">
              <w:rPr>
                <w:sz w:val="14"/>
                <w:szCs w:val="14"/>
              </w:rPr>
              <w:t>4</w:t>
            </w:r>
            <w:r w:rsidR="00B44714" w:rsidRPr="00B44714">
              <w:rPr>
                <w:sz w:val="14"/>
                <w:szCs w:val="14"/>
              </w:rPr>
              <w:t>5</w:t>
            </w:r>
            <w:r w:rsidRPr="00B44714">
              <w:rPr>
                <w:sz w:val="14"/>
                <w:szCs w:val="14"/>
              </w:rPr>
              <w:t>)</w:t>
            </w:r>
          </w:p>
        </w:tc>
      </w:tr>
      <w:tr w:rsidR="00E65B32" w:rsidRPr="0053635E" w:rsidTr="006C2959">
        <w:trPr>
          <w:gridBefore w:val="1"/>
          <w:wBefore w:w="13" w:type="dxa"/>
          <w:jc w:val="center"/>
        </w:trPr>
        <w:tc>
          <w:tcPr>
            <w:tcW w:w="510" w:type="dxa"/>
            <w:gridSpan w:val="2"/>
          </w:tcPr>
          <w:p w:rsidR="00E65B32" w:rsidRPr="006C2959" w:rsidRDefault="00E65B32" w:rsidP="00C73C62">
            <w:pPr>
              <w:widowControl/>
              <w:tabs>
                <w:tab w:val="right" w:leader="dot" w:pos="2440"/>
              </w:tabs>
              <w:suppressAutoHyphens/>
              <w:ind w:left="200" w:hanging="200"/>
              <w:rPr>
                <w:sz w:val="14"/>
              </w:rPr>
            </w:pPr>
            <w:r w:rsidRPr="006C2959">
              <w:rPr>
                <w:sz w:val="14"/>
              </w:rPr>
              <w:t>(c)</w:t>
            </w:r>
            <w:r w:rsidRPr="006C2959">
              <w:rPr>
                <w:sz w:val="14"/>
              </w:rPr>
              <w:tab/>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37,000</w:t>
            </w: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Sep-2007</w:t>
            </w: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Jul-2014</w:t>
            </w: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5.526%</w:t>
            </w: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Mar-2011</w:t>
            </w:r>
          </w:p>
        </w:tc>
        <w:tc>
          <w:tcPr>
            <w:tcW w:w="815" w:type="dxa"/>
            <w:gridSpan w:val="2"/>
            <w:vAlign w:val="bottom"/>
          </w:tcPr>
          <w:p w:rsidR="00E65B32" w:rsidRPr="006F306D"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3,122</w:t>
            </w:r>
          </w:p>
        </w:tc>
        <w:tc>
          <w:tcPr>
            <w:tcW w:w="728" w:type="dxa"/>
            <w:gridSpan w:val="2"/>
          </w:tcPr>
          <w:p w:rsidR="00E65B32" w:rsidRPr="00B44714" w:rsidRDefault="00FB486B" w:rsidP="00FB486B">
            <w:pPr>
              <w:widowControl/>
              <w:tabs>
                <w:tab w:val="decimal" w:pos="563"/>
              </w:tabs>
              <w:overflowPunct w:val="0"/>
              <w:textAlignment w:val="baseline"/>
              <w:rPr>
                <w:sz w:val="14"/>
                <w:szCs w:val="14"/>
              </w:rPr>
            </w:pPr>
            <w:r>
              <w:rPr>
                <w:sz w:val="14"/>
                <w:szCs w:val="14"/>
              </w:rPr>
              <w:t>185</w:t>
            </w:r>
          </w:p>
        </w:tc>
        <w:tc>
          <w:tcPr>
            <w:tcW w:w="675" w:type="dxa"/>
            <w:gridSpan w:val="2"/>
          </w:tcPr>
          <w:p w:rsidR="00E65B32" w:rsidRPr="00B44714" w:rsidRDefault="007B6C8B" w:rsidP="00B44714">
            <w:pPr>
              <w:widowControl/>
              <w:tabs>
                <w:tab w:val="decimal" w:pos="712"/>
              </w:tabs>
              <w:overflowPunct w:val="0"/>
              <w:textAlignment w:val="baseline"/>
              <w:rPr>
                <w:sz w:val="14"/>
                <w:szCs w:val="14"/>
              </w:rPr>
            </w:pPr>
            <w:r w:rsidRPr="00B44714">
              <w:rPr>
                <w:sz w:val="14"/>
                <w:szCs w:val="14"/>
              </w:rPr>
              <w:t>1</w:t>
            </w:r>
            <w:r w:rsidR="00B44714" w:rsidRPr="00B44714">
              <w:rPr>
                <w:sz w:val="14"/>
                <w:szCs w:val="14"/>
              </w:rPr>
              <w:t>5</w:t>
            </w:r>
            <w:r w:rsidRPr="00B44714">
              <w:rPr>
                <w:sz w:val="14"/>
                <w:szCs w:val="14"/>
              </w:rPr>
              <w:t>0</w:t>
            </w:r>
          </w:p>
        </w:tc>
        <w:tc>
          <w:tcPr>
            <w:tcW w:w="581" w:type="dxa"/>
            <w:gridSpan w:val="2"/>
          </w:tcPr>
          <w:p w:rsidR="00E65B32" w:rsidRPr="00E61C8B" w:rsidRDefault="00E65B32" w:rsidP="00E61C8B">
            <w:pPr>
              <w:widowControl/>
              <w:tabs>
                <w:tab w:val="decimal" w:pos="712"/>
              </w:tabs>
              <w:overflowPunct w:val="0"/>
              <w:textAlignment w:val="baseline"/>
              <w:rPr>
                <w:sz w:val="14"/>
                <w:szCs w:val="14"/>
              </w:rPr>
            </w:pPr>
            <w:r w:rsidRPr="00E61C8B">
              <w:rPr>
                <w:sz w:val="14"/>
                <w:szCs w:val="14"/>
              </w:rPr>
              <w:t>2</w:t>
            </w:r>
            <w:r w:rsidR="00E61C8B" w:rsidRPr="00E61C8B">
              <w:rPr>
                <w:sz w:val="14"/>
                <w:szCs w:val="14"/>
              </w:rPr>
              <w:t>48</w:t>
            </w:r>
          </w:p>
        </w:tc>
        <w:tc>
          <w:tcPr>
            <w:tcW w:w="77" w:type="dxa"/>
            <w:gridSpan w:val="3"/>
          </w:tcPr>
          <w:p w:rsidR="00E65B32" w:rsidRPr="0053635E" w:rsidRDefault="00E65B32" w:rsidP="007B6C8B">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7B1E9E">
            <w:pPr>
              <w:widowControl/>
              <w:tabs>
                <w:tab w:val="decimal" w:pos="806"/>
              </w:tabs>
              <w:overflowPunct w:val="0"/>
              <w:textAlignment w:val="baseline"/>
              <w:rPr>
                <w:sz w:val="14"/>
                <w:szCs w:val="14"/>
                <w:highlight w:val="yellow"/>
              </w:rPr>
            </w:pPr>
          </w:p>
        </w:tc>
        <w:tc>
          <w:tcPr>
            <w:tcW w:w="936" w:type="dxa"/>
            <w:gridSpan w:val="3"/>
          </w:tcPr>
          <w:p w:rsidR="00E65B32" w:rsidRPr="00B44714" w:rsidRDefault="00E65B32" w:rsidP="00B44714">
            <w:pPr>
              <w:widowControl/>
              <w:tabs>
                <w:tab w:val="decimal" w:pos="735"/>
              </w:tabs>
              <w:overflowPunct w:val="0"/>
              <w:textAlignment w:val="baseline"/>
              <w:rPr>
                <w:sz w:val="14"/>
                <w:szCs w:val="14"/>
              </w:rPr>
            </w:pPr>
            <w:r w:rsidRPr="00B44714">
              <w:rPr>
                <w:sz w:val="14"/>
                <w:szCs w:val="14"/>
              </w:rPr>
              <w:t xml:space="preserve">  </w:t>
            </w:r>
            <w:r w:rsidR="00B44714" w:rsidRPr="00B44714">
              <w:rPr>
                <w:sz w:val="14"/>
                <w:szCs w:val="14"/>
              </w:rPr>
              <w:t>185</w:t>
            </w:r>
          </w:p>
        </w:tc>
      </w:tr>
      <w:tr w:rsidR="00B077AF" w:rsidRPr="0053635E" w:rsidTr="006C2959">
        <w:trPr>
          <w:gridBefore w:val="1"/>
          <w:wBefore w:w="13" w:type="dxa"/>
          <w:jc w:val="center"/>
        </w:trPr>
        <w:tc>
          <w:tcPr>
            <w:tcW w:w="510" w:type="dxa"/>
            <w:gridSpan w:val="2"/>
          </w:tcPr>
          <w:p w:rsidR="00B077AF" w:rsidRPr="006C2959" w:rsidRDefault="00B077AF" w:rsidP="00C73C62">
            <w:pPr>
              <w:widowControl/>
              <w:tabs>
                <w:tab w:val="right" w:leader="dot" w:pos="2736"/>
              </w:tabs>
              <w:suppressAutoHyphens/>
              <w:ind w:left="200" w:hanging="200"/>
              <w:rPr>
                <w:sz w:val="14"/>
              </w:rPr>
            </w:pPr>
            <w:r w:rsidRPr="006C2959">
              <w:rPr>
                <w:sz w:val="14"/>
              </w:rPr>
              <w:t>(d)</w:t>
            </w:r>
            <w:r w:rsidRPr="006C2959">
              <w:rPr>
                <w:sz w:val="14"/>
              </w:rPr>
              <w:tab/>
            </w:r>
          </w:p>
        </w:tc>
        <w:tc>
          <w:tcPr>
            <w:tcW w:w="1092"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53,286</w:t>
            </w:r>
          </w:p>
        </w:tc>
        <w:tc>
          <w:tcPr>
            <w:tcW w:w="977"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34" w:type="dxa"/>
            <w:gridSpan w:val="2"/>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Oct-2017</w:t>
            </w:r>
          </w:p>
        </w:tc>
        <w:tc>
          <w:tcPr>
            <w:tcW w:w="854" w:type="dxa"/>
            <w:gridSpan w:val="3"/>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3.989%</w:t>
            </w:r>
          </w:p>
        </w:tc>
        <w:tc>
          <w:tcPr>
            <w:tcW w:w="738"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Aug-2012</w:t>
            </w:r>
          </w:p>
        </w:tc>
        <w:tc>
          <w:tcPr>
            <w:tcW w:w="815" w:type="dxa"/>
            <w:gridSpan w:val="2"/>
            <w:vAlign w:val="bottom"/>
          </w:tcPr>
          <w:p w:rsidR="00B077AF" w:rsidRPr="006F306D"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2,048</w:t>
            </w:r>
          </w:p>
        </w:tc>
        <w:tc>
          <w:tcPr>
            <w:tcW w:w="728" w:type="dxa"/>
            <w:gridSpan w:val="2"/>
          </w:tcPr>
          <w:p w:rsidR="00B077AF" w:rsidRPr="00B44714" w:rsidRDefault="00B077AF" w:rsidP="00387502">
            <w:pPr>
              <w:jc w:val="center"/>
            </w:pPr>
            <w:r w:rsidRPr="00B44714">
              <w:rPr>
                <w:sz w:val="14"/>
                <w:szCs w:val="14"/>
              </w:rPr>
              <w:t xml:space="preserve"> </w:t>
            </w:r>
            <w:r w:rsidR="00394203">
              <w:rPr>
                <w:sz w:val="14"/>
                <w:szCs w:val="14"/>
              </w:rPr>
              <w:t xml:space="preserve">   </w:t>
            </w:r>
            <w:r w:rsidRPr="00B44714">
              <w:rPr>
                <w:sz w:val="14"/>
                <w:szCs w:val="14"/>
              </w:rPr>
              <w:t xml:space="preserve"> </w:t>
            </w:r>
            <w:r w:rsidR="00FB486B">
              <w:rPr>
                <w:sz w:val="14"/>
                <w:szCs w:val="14"/>
              </w:rPr>
              <w:t>87</w:t>
            </w:r>
            <w:r w:rsidR="00387502">
              <w:rPr>
                <w:sz w:val="14"/>
                <w:szCs w:val="14"/>
              </w:rPr>
              <w:t>1</w:t>
            </w:r>
          </w:p>
        </w:tc>
        <w:tc>
          <w:tcPr>
            <w:tcW w:w="675" w:type="dxa"/>
            <w:gridSpan w:val="2"/>
          </w:tcPr>
          <w:p w:rsidR="00B077AF" w:rsidRPr="00B44714" w:rsidRDefault="003E3ABA" w:rsidP="00B44714">
            <w:pPr>
              <w:widowControl/>
              <w:tabs>
                <w:tab w:val="decimal" w:pos="712"/>
              </w:tabs>
              <w:overflowPunct w:val="0"/>
              <w:textAlignment w:val="baseline"/>
              <w:rPr>
                <w:sz w:val="14"/>
                <w:szCs w:val="14"/>
              </w:rPr>
            </w:pPr>
            <w:r w:rsidRPr="00B44714">
              <w:rPr>
                <w:sz w:val="14"/>
                <w:szCs w:val="14"/>
              </w:rPr>
              <w:t>1</w:t>
            </w:r>
            <w:r w:rsidR="00B44714" w:rsidRPr="00B44714">
              <w:rPr>
                <w:sz w:val="14"/>
                <w:szCs w:val="14"/>
              </w:rPr>
              <w:t>33</w:t>
            </w:r>
          </w:p>
        </w:tc>
        <w:tc>
          <w:tcPr>
            <w:tcW w:w="581" w:type="dxa"/>
            <w:gridSpan w:val="2"/>
          </w:tcPr>
          <w:p w:rsidR="00B077AF" w:rsidRPr="00E61C8B" w:rsidRDefault="007B1E9E" w:rsidP="00E61C8B">
            <w:pPr>
              <w:widowControl/>
              <w:tabs>
                <w:tab w:val="decimal" w:pos="712"/>
              </w:tabs>
              <w:overflowPunct w:val="0"/>
              <w:textAlignment w:val="baseline"/>
              <w:rPr>
                <w:sz w:val="14"/>
                <w:szCs w:val="14"/>
              </w:rPr>
            </w:pPr>
            <w:r w:rsidRPr="00E61C8B">
              <w:rPr>
                <w:sz w:val="14"/>
                <w:szCs w:val="14"/>
              </w:rPr>
              <w:t>1</w:t>
            </w:r>
            <w:r w:rsidR="00E61C8B" w:rsidRPr="00E61C8B">
              <w:rPr>
                <w:sz w:val="14"/>
                <w:szCs w:val="14"/>
              </w:rPr>
              <w:t>9</w:t>
            </w:r>
            <w:r w:rsidRPr="00E61C8B">
              <w:rPr>
                <w:sz w:val="14"/>
                <w:szCs w:val="14"/>
              </w:rPr>
              <w:t>4</w:t>
            </w:r>
          </w:p>
        </w:tc>
        <w:tc>
          <w:tcPr>
            <w:tcW w:w="77" w:type="dxa"/>
            <w:gridSpan w:val="3"/>
          </w:tcPr>
          <w:p w:rsidR="00B077AF" w:rsidRPr="0053635E" w:rsidRDefault="00B077AF" w:rsidP="007B6C8B">
            <w:pPr>
              <w:widowControl/>
              <w:tabs>
                <w:tab w:val="decimal" w:pos="806"/>
              </w:tabs>
              <w:overflowPunct w:val="0"/>
              <w:textAlignment w:val="baseline"/>
              <w:rPr>
                <w:sz w:val="14"/>
                <w:szCs w:val="14"/>
                <w:highlight w:val="yellow"/>
              </w:rPr>
            </w:pPr>
          </w:p>
        </w:tc>
        <w:tc>
          <w:tcPr>
            <w:tcW w:w="57" w:type="dxa"/>
            <w:gridSpan w:val="3"/>
          </w:tcPr>
          <w:p w:rsidR="00B077AF" w:rsidRPr="0053635E" w:rsidRDefault="00B077AF" w:rsidP="007B1E9E">
            <w:pPr>
              <w:widowControl/>
              <w:tabs>
                <w:tab w:val="decimal" w:pos="806"/>
              </w:tabs>
              <w:overflowPunct w:val="0"/>
              <w:textAlignment w:val="baseline"/>
              <w:rPr>
                <w:sz w:val="14"/>
                <w:szCs w:val="14"/>
                <w:highlight w:val="yellow"/>
              </w:rPr>
            </w:pPr>
          </w:p>
        </w:tc>
        <w:tc>
          <w:tcPr>
            <w:tcW w:w="936" w:type="dxa"/>
            <w:gridSpan w:val="3"/>
          </w:tcPr>
          <w:p w:rsidR="00B077AF" w:rsidRPr="00B44714" w:rsidRDefault="00B44714" w:rsidP="00B44714">
            <w:pPr>
              <w:widowControl/>
              <w:tabs>
                <w:tab w:val="decimal" w:pos="735"/>
              </w:tabs>
              <w:overflowPunct w:val="0"/>
              <w:textAlignment w:val="baseline"/>
              <w:rPr>
                <w:sz w:val="14"/>
                <w:szCs w:val="14"/>
              </w:rPr>
            </w:pPr>
            <w:r w:rsidRPr="00B44714">
              <w:rPr>
                <w:sz w:val="14"/>
                <w:szCs w:val="14"/>
              </w:rPr>
              <w:t>429</w:t>
            </w:r>
          </w:p>
        </w:tc>
      </w:tr>
      <w:tr w:rsidR="00B077AF" w:rsidRPr="0053635E" w:rsidTr="006C2959">
        <w:trPr>
          <w:gridBefore w:val="1"/>
          <w:wBefore w:w="13" w:type="dxa"/>
          <w:jc w:val="center"/>
        </w:trPr>
        <w:tc>
          <w:tcPr>
            <w:tcW w:w="510" w:type="dxa"/>
            <w:gridSpan w:val="2"/>
          </w:tcPr>
          <w:p w:rsidR="00B077AF" w:rsidRPr="006C2959" w:rsidRDefault="00B077AF" w:rsidP="00C73C62">
            <w:pPr>
              <w:widowControl/>
              <w:tabs>
                <w:tab w:val="right" w:leader="dot" w:pos="2440"/>
              </w:tabs>
              <w:suppressAutoHyphens/>
              <w:ind w:left="200" w:hanging="200"/>
              <w:rPr>
                <w:sz w:val="14"/>
              </w:rPr>
            </w:pPr>
            <w:r w:rsidRPr="006C2959">
              <w:rPr>
                <w:sz w:val="14"/>
              </w:rPr>
              <w:t>(d)</w:t>
            </w:r>
            <w:r w:rsidRPr="006C2959">
              <w:rPr>
                <w:sz w:val="14"/>
              </w:rPr>
              <w:tab/>
            </w:r>
          </w:p>
        </w:tc>
        <w:tc>
          <w:tcPr>
            <w:tcW w:w="1092"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181,667</w:t>
            </w:r>
          </w:p>
        </w:tc>
        <w:tc>
          <w:tcPr>
            <w:tcW w:w="977"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34" w:type="dxa"/>
            <w:gridSpan w:val="2"/>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Jul-2017</w:t>
            </w:r>
          </w:p>
        </w:tc>
        <w:tc>
          <w:tcPr>
            <w:tcW w:w="854" w:type="dxa"/>
            <w:gridSpan w:val="3"/>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4.033%</w:t>
            </w:r>
          </w:p>
        </w:tc>
        <w:tc>
          <w:tcPr>
            <w:tcW w:w="738"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Aug-2012</w:t>
            </w:r>
          </w:p>
        </w:tc>
        <w:tc>
          <w:tcPr>
            <w:tcW w:w="815" w:type="dxa"/>
            <w:gridSpan w:val="2"/>
            <w:vAlign w:val="bottom"/>
          </w:tcPr>
          <w:p w:rsidR="00B077AF" w:rsidRPr="006F306D"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8,538</w:t>
            </w:r>
          </w:p>
        </w:tc>
        <w:tc>
          <w:tcPr>
            <w:tcW w:w="728" w:type="dxa"/>
            <w:gridSpan w:val="2"/>
          </w:tcPr>
          <w:p w:rsidR="00B077AF" w:rsidRPr="00B44714" w:rsidRDefault="00B077AF" w:rsidP="00FB486B">
            <w:pPr>
              <w:jc w:val="center"/>
            </w:pPr>
            <w:r w:rsidRPr="00B44714">
              <w:rPr>
                <w:sz w:val="14"/>
                <w:szCs w:val="14"/>
              </w:rPr>
              <w:t xml:space="preserve">  </w:t>
            </w:r>
            <w:r w:rsidR="00FB486B">
              <w:rPr>
                <w:sz w:val="14"/>
                <w:szCs w:val="14"/>
              </w:rPr>
              <w:t>3,510</w:t>
            </w:r>
          </w:p>
        </w:tc>
        <w:tc>
          <w:tcPr>
            <w:tcW w:w="675" w:type="dxa"/>
            <w:gridSpan w:val="2"/>
          </w:tcPr>
          <w:p w:rsidR="00B077AF" w:rsidRPr="00B44714" w:rsidRDefault="00B44714" w:rsidP="00B44714">
            <w:pPr>
              <w:widowControl/>
              <w:tabs>
                <w:tab w:val="decimal" w:pos="712"/>
              </w:tabs>
              <w:overflowPunct w:val="0"/>
              <w:textAlignment w:val="baseline"/>
              <w:rPr>
                <w:sz w:val="14"/>
                <w:szCs w:val="14"/>
              </w:rPr>
            </w:pPr>
            <w:r w:rsidRPr="00B44714">
              <w:rPr>
                <w:sz w:val="14"/>
                <w:szCs w:val="14"/>
              </w:rPr>
              <w:t>612</w:t>
            </w:r>
          </w:p>
        </w:tc>
        <w:tc>
          <w:tcPr>
            <w:tcW w:w="581" w:type="dxa"/>
            <w:gridSpan w:val="2"/>
          </w:tcPr>
          <w:p w:rsidR="00B077AF" w:rsidRPr="00E61C8B" w:rsidRDefault="00E61C8B" w:rsidP="00E61C8B">
            <w:pPr>
              <w:widowControl/>
              <w:tabs>
                <w:tab w:val="decimal" w:pos="712"/>
              </w:tabs>
              <w:overflowPunct w:val="0"/>
              <w:textAlignment w:val="baseline"/>
              <w:rPr>
                <w:sz w:val="14"/>
                <w:szCs w:val="14"/>
              </w:rPr>
            </w:pPr>
            <w:r w:rsidRPr="00E61C8B">
              <w:rPr>
                <w:sz w:val="14"/>
                <w:szCs w:val="14"/>
              </w:rPr>
              <w:t>809</w:t>
            </w:r>
          </w:p>
        </w:tc>
        <w:tc>
          <w:tcPr>
            <w:tcW w:w="77" w:type="dxa"/>
            <w:gridSpan w:val="3"/>
          </w:tcPr>
          <w:p w:rsidR="00B077AF" w:rsidRPr="0053635E" w:rsidRDefault="00B077AF" w:rsidP="007B6C8B">
            <w:pPr>
              <w:widowControl/>
              <w:tabs>
                <w:tab w:val="decimal" w:pos="806"/>
              </w:tabs>
              <w:overflowPunct w:val="0"/>
              <w:textAlignment w:val="baseline"/>
              <w:rPr>
                <w:sz w:val="14"/>
                <w:szCs w:val="14"/>
                <w:highlight w:val="yellow"/>
              </w:rPr>
            </w:pPr>
          </w:p>
        </w:tc>
        <w:tc>
          <w:tcPr>
            <w:tcW w:w="57" w:type="dxa"/>
            <w:gridSpan w:val="3"/>
          </w:tcPr>
          <w:p w:rsidR="00B077AF" w:rsidRPr="0053635E" w:rsidRDefault="00B077AF" w:rsidP="007B1E9E">
            <w:pPr>
              <w:widowControl/>
              <w:tabs>
                <w:tab w:val="decimal" w:pos="806"/>
              </w:tabs>
              <w:overflowPunct w:val="0"/>
              <w:textAlignment w:val="baseline"/>
              <w:rPr>
                <w:sz w:val="14"/>
                <w:szCs w:val="14"/>
                <w:highlight w:val="yellow"/>
              </w:rPr>
            </w:pPr>
          </w:p>
        </w:tc>
        <w:tc>
          <w:tcPr>
            <w:tcW w:w="936" w:type="dxa"/>
            <w:gridSpan w:val="3"/>
          </w:tcPr>
          <w:p w:rsidR="00B077AF" w:rsidRPr="00B44714" w:rsidRDefault="00B44714" w:rsidP="00B44714">
            <w:pPr>
              <w:widowControl/>
              <w:tabs>
                <w:tab w:val="decimal" w:pos="735"/>
              </w:tabs>
              <w:overflowPunct w:val="0"/>
              <w:textAlignment w:val="baseline"/>
              <w:rPr>
                <w:sz w:val="14"/>
                <w:szCs w:val="14"/>
              </w:rPr>
            </w:pPr>
            <w:r w:rsidRPr="00B44714">
              <w:rPr>
                <w:sz w:val="14"/>
                <w:szCs w:val="14"/>
              </w:rPr>
              <w:t>1</w:t>
            </w:r>
            <w:r w:rsidR="00E07DAF" w:rsidRPr="00B44714">
              <w:rPr>
                <w:sz w:val="14"/>
                <w:szCs w:val="14"/>
              </w:rPr>
              <w:t>,</w:t>
            </w:r>
            <w:r w:rsidRPr="00B44714">
              <w:rPr>
                <w:sz w:val="14"/>
                <w:szCs w:val="14"/>
              </w:rPr>
              <w:t>929</w:t>
            </w:r>
          </w:p>
        </w:tc>
      </w:tr>
      <w:tr w:rsidR="00B077AF" w:rsidRPr="0053635E" w:rsidTr="006C2959">
        <w:trPr>
          <w:gridBefore w:val="1"/>
          <w:wBefore w:w="13" w:type="dxa"/>
          <w:jc w:val="center"/>
        </w:trPr>
        <w:tc>
          <w:tcPr>
            <w:tcW w:w="510" w:type="dxa"/>
            <w:gridSpan w:val="2"/>
          </w:tcPr>
          <w:p w:rsidR="00B077AF" w:rsidRPr="006C2959" w:rsidRDefault="00B077AF" w:rsidP="00C73C62">
            <w:pPr>
              <w:widowControl/>
              <w:tabs>
                <w:tab w:val="right" w:leader="dot" w:pos="2440"/>
              </w:tabs>
              <w:suppressAutoHyphens/>
              <w:ind w:left="200" w:hanging="200"/>
              <w:rPr>
                <w:sz w:val="14"/>
              </w:rPr>
            </w:pPr>
            <w:r w:rsidRPr="006C2959">
              <w:rPr>
                <w:sz w:val="14"/>
              </w:rPr>
              <w:t>(d)</w:t>
            </w:r>
            <w:r w:rsidRPr="006C2959">
              <w:rPr>
                <w:sz w:val="14"/>
              </w:rPr>
              <w:tab/>
            </w:r>
          </w:p>
        </w:tc>
        <w:tc>
          <w:tcPr>
            <w:tcW w:w="1092"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43,333</w:t>
            </w:r>
          </w:p>
        </w:tc>
        <w:tc>
          <w:tcPr>
            <w:tcW w:w="977"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34" w:type="dxa"/>
            <w:gridSpan w:val="2"/>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Jul-2014</w:t>
            </w:r>
          </w:p>
        </w:tc>
        <w:tc>
          <w:tcPr>
            <w:tcW w:w="854" w:type="dxa"/>
            <w:gridSpan w:val="3"/>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4.328%</w:t>
            </w:r>
          </w:p>
        </w:tc>
        <w:tc>
          <w:tcPr>
            <w:tcW w:w="738"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Aug-2012</w:t>
            </w:r>
          </w:p>
        </w:tc>
        <w:tc>
          <w:tcPr>
            <w:tcW w:w="815" w:type="dxa"/>
            <w:gridSpan w:val="2"/>
            <w:vAlign w:val="bottom"/>
          </w:tcPr>
          <w:p w:rsidR="00B077AF" w:rsidRPr="006F306D"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11,033</w:t>
            </w:r>
          </w:p>
        </w:tc>
        <w:tc>
          <w:tcPr>
            <w:tcW w:w="728" w:type="dxa"/>
            <w:gridSpan w:val="2"/>
          </w:tcPr>
          <w:p w:rsidR="00B077AF" w:rsidRPr="00B44714" w:rsidRDefault="00B077AF" w:rsidP="00FB486B">
            <w:pPr>
              <w:jc w:val="center"/>
            </w:pPr>
            <w:r w:rsidRPr="00B44714">
              <w:rPr>
                <w:sz w:val="14"/>
                <w:szCs w:val="14"/>
              </w:rPr>
              <w:t xml:space="preserve">  </w:t>
            </w:r>
            <w:r w:rsidR="00FB486B">
              <w:rPr>
                <w:sz w:val="14"/>
                <w:szCs w:val="14"/>
              </w:rPr>
              <w:t>1,975</w:t>
            </w:r>
          </w:p>
        </w:tc>
        <w:tc>
          <w:tcPr>
            <w:tcW w:w="675" w:type="dxa"/>
            <w:gridSpan w:val="2"/>
          </w:tcPr>
          <w:p w:rsidR="00B077AF" w:rsidRPr="00B44714" w:rsidRDefault="003E3ABA" w:rsidP="00B44714">
            <w:pPr>
              <w:widowControl/>
              <w:tabs>
                <w:tab w:val="decimal" w:pos="712"/>
              </w:tabs>
              <w:overflowPunct w:val="0"/>
              <w:textAlignment w:val="baseline"/>
              <w:rPr>
                <w:sz w:val="14"/>
                <w:szCs w:val="14"/>
              </w:rPr>
            </w:pPr>
            <w:r w:rsidRPr="00B44714">
              <w:rPr>
                <w:sz w:val="14"/>
                <w:szCs w:val="14"/>
              </w:rPr>
              <w:t>1,</w:t>
            </w:r>
            <w:r w:rsidR="00B44714" w:rsidRPr="00B44714">
              <w:rPr>
                <w:sz w:val="14"/>
                <w:szCs w:val="14"/>
              </w:rPr>
              <w:t>462</w:t>
            </w:r>
          </w:p>
        </w:tc>
        <w:tc>
          <w:tcPr>
            <w:tcW w:w="581" w:type="dxa"/>
            <w:gridSpan w:val="2"/>
          </w:tcPr>
          <w:p w:rsidR="00B077AF" w:rsidRPr="00E61C8B" w:rsidRDefault="00E61C8B" w:rsidP="00E61C8B">
            <w:pPr>
              <w:widowControl/>
              <w:tabs>
                <w:tab w:val="decimal" w:pos="712"/>
              </w:tabs>
              <w:overflowPunct w:val="0"/>
              <w:textAlignment w:val="baseline"/>
              <w:rPr>
                <w:sz w:val="14"/>
                <w:szCs w:val="14"/>
              </w:rPr>
            </w:pPr>
            <w:r w:rsidRPr="00E61C8B">
              <w:rPr>
                <w:sz w:val="14"/>
                <w:szCs w:val="14"/>
              </w:rPr>
              <w:t>1,306</w:t>
            </w:r>
          </w:p>
        </w:tc>
        <w:tc>
          <w:tcPr>
            <w:tcW w:w="77" w:type="dxa"/>
            <w:gridSpan w:val="3"/>
          </w:tcPr>
          <w:p w:rsidR="00B077AF" w:rsidRPr="0053635E" w:rsidRDefault="00B077AF" w:rsidP="007B6C8B">
            <w:pPr>
              <w:widowControl/>
              <w:tabs>
                <w:tab w:val="decimal" w:pos="806"/>
              </w:tabs>
              <w:overflowPunct w:val="0"/>
              <w:textAlignment w:val="baseline"/>
              <w:rPr>
                <w:sz w:val="14"/>
                <w:szCs w:val="14"/>
                <w:highlight w:val="yellow"/>
              </w:rPr>
            </w:pPr>
          </w:p>
        </w:tc>
        <w:tc>
          <w:tcPr>
            <w:tcW w:w="57" w:type="dxa"/>
            <w:gridSpan w:val="3"/>
          </w:tcPr>
          <w:p w:rsidR="00B077AF" w:rsidRPr="0053635E" w:rsidRDefault="00B077AF" w:rsidP="007B1E9E">
            <w:pPr>
              <w:widowControl/>
              <w:tabs>
                <w:tab w:val="decimal" w:pos="806"/>
              </w:tabs>
              <w:overflowPunct w:val="0"/>
              <w:textAlignment w:val="baseline"/>
              <w:rPr>
                <w:sz w:val="14"/>
                <w:szCs w:val="14"/>
                <w:highlight w:val="yellow"/>
              </w:rPr>
            </w:pPr>
          </w:p>
        </w:tc>
        <w:tc>
          <w:tcPr>
            <w:tcW w:w="936" w:type="dxa"/>
            <w:gridSpan w:val="3"/>
          </w:tcPr>
          <w:p w:rsidR="00B077AF" w:rsidRPr="00B44714" w:rsidRDefault="00B44714" w:rsidP="00B44714">
            <w:pPr>
              <w:widowControl/>
              <w:tabs>
                <w:tab w:val="decimal" w:pos="735"/>
              </w:tabs>
              <w:overflowPunct w:val="0"/>
              <w:textAlignment w:val="baseline"/>
              <w:rPr>
                <w:sz w:val="14"/>
                <w:szCs w:val="14"/>
              </w:rPr>
            </w:pPr>
            <w:r w:rsidRPr="00B44714">
              <w:rPr>
                <w:sz w:val="14"/>
                <w:szCs w:val="14"/>
              </w:rPr>
              <w:t>1</w:t>
            </w:r>
            <w:r w:rsidR="00E07DAF" w:rsidRPr="00B44714">
              <w:rPr>
                <w:sz w:val="14"/>
                <w:szCs w:val="14"/>
              </w:rPr>
              <w:t>,</w:t>
            </w:r>
            <w:r w:rsidRPr="00B44714">
              <w:rPr>
                <w:sz w:val="14"/>
                <w:szCs w:val="14"/>
              </w:rPr>
              <w:t>975</w:t>
            </w:r>
          </w:p>
        </w:tc>
      </w:tr>
      <w:tr w:rsidR="00B077AF" w:rsidRPr="0053635E" w:rsidTr="006C2959">
        <w:trPr>
          <w:gridBefore w:val="1"/>
          <w:wBefore w:w="13" w:type="dxa"/>
          <w:jc w:val="center"/>
        </w:trPr>
        <w:tc>
          <w:tcPr>
            <w:tcW w:w="510" w:type="dxa"/>
            <w:gridSpan w:val="2"/>
          </w:tcPr>
          <w:p w:rsidR="00B077AF" w:rsidRPr="006C2959" w:rsidRDefault="00B077AF" w:rsidP="00C73C62">
            <w:pPr>
              <w:widowControl/>
              <w:tabs>
                <w:tab w:val="right" w:leader="dot" w:pos="2440"/>
              </w:tabs>
              <w:suppressAutoHyphens/>
              <w:ind w:left="200" w:hanging="200"/>
              <w:rPr>
                <w:sz w:val="14"/>
              </w:rPr>
            </w:pPr>
            <w:r w:rsidRPr="006C2959">
              <w:rPr>
                <w:sz w:val="14"/>
              </w:rPr>
              <w:t>(d)</w:t>
            </w:r>
            <w:r w:rsidRPr="006C2959">
              <w:rPr>
                <w:sz w:val="14"/>
              </w:rPr>
              <w:tab/>
            </w:r>
          </w:p>
        </w:tc>
        <w:tc>
          <w:tcPr>
            <w:tcW w:w="1092"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211,567</w:t>
            </w:r>
          </w:p>
        </w:tc>
        <w:tc>
          <w:tcPr>
            <w:tcW w:w="977"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34" w:type="dxa"/>
            <w:gridSpan w:val="2"/>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Oct-2014</w:t>
            </w:r>
          </w:p>
        </w:tc>
        <w:tc>
          <w:tcPr>
            <w:tcW w:w="854" w:type="dxa"/>
            <w:gridSpan w:val="3"/>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4.147%</w:t>
            </w:r>
          </w:p>
        </w:tc>
        <w:tc>
          <w:tcPr>
            <w:tcW w:w="738"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Aug-2012</w:t>
            </w:r>
          </w:p>
        </w:tc>
        <w:tc>
          <w:tcPr>
            <w:tcW w:w="815" w:type="dxa"/>
            <w:gridSpan w:val="2"/>
            <w:vAlign w:val="bottom"/>
          </w:tcPr>
          <w:p w:rsidR="00B077AF" w:rsidRPr="006F306D"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17,002</w:t>
            </w:r>
          </w:p>
        </w:tc>
        <w:tc>
          <w:tcPr>
            <w:tcW w:w="728" w:type="dxa"/>
            <w:gridSpan w:val="2"/>
          </w:tcPr>
          <w:p w:rsidR="00B077AF" w:rsidRPr="00B44714" w:rsidRDefault="00B077AF" w:rsidP="00FB486B">
            <w:pPr>
              <w:jc w:val="center"/>
            </w:pPr>
            <w:r w:rsidRPr="00B44714">
              <w:rPr>
                <w:sz w:val="14"/>
                <w:szCs w:val="14"/>
              </w:rPr>
              <w:t xml:space="preserve">  </w:t>
            </w:r>
            <w:r w:rsidR="00FB486B">
              <w:rPr>
                <w:sz w:val="14"/>
                <w:szCs w:val="14"/>
              </w:rPr>
              <w:t>4,930</w:t>
            </w:r>
          </w:p>
        </w:tc>
        <w:tc>
          <w:tcPr>
            <w:tcW w:w="675" w:type="dxa"/>
            <w:gridSpan w:val="2"/>
          </w:tcPr>
          <w:p w:rsidR="00B077AF" w:rsidRPr="00B44714" w:rsidRDefault="005254B6" w:rsidP="00B44714">
            <w:pPr>
              <w:widowControl/>
              <w:tabs>
                <w:tab w:val="decimal" w:pos="712"/>
              </w:tabs>
              <w:overflowPunct w:val="0"/>
              <w:textAlignment w:val="baseline"/>
              <w:rPr>
                <w:sz w:val="14"/>
                <w:szCs w:val="14"/>
              </w:rPr>
            </w:pPr>
            <w:r w:rsidRPr="00B44714">
              <w:rPr>
                <w:sz w:val="14"/>
                <w:szCs w:val="14"/>
              </w:rPr>
              <w:t>1,</w:t>
            </w:r>
            <w:r w:rsidR="00B44714" w:rsidRPr="00B44714">
              <w:rPr>
                <w:sz w:val="14"/>
                <w:szCs w:val="14"/>
              </w:rPr>
              <w:t>648</w:t>
            </w:r>
          </w:p>
        </w:tc>
        <w:tc>
          <w:tcPr>
            <w:tcW w:w="581" w:type="dxa"/>
            <w:gridSpan w:val="2"/>
          </w:tcPr>
          <w:p w:rsidR="00B077AF" w:rsidRPr="00E61C8B" w:rsidRDefault="007B1E9E" w:rsidP="00E61C8B">
            <w:pPr>
              <w:widowControl/>
              <w:tabs>
                <w:tab w:val="decimal" w:pos="712"/>
              </w:tabs>
              <w:overflowPunct w:val="0"/>
              <w:textAlignment w:val="baseline"/>
              <w:rPr>
                <w:sz w:val="14"/>
                <w:szCs w:val="14"/>
              </w:rPr>
            </w:pPr>
            <w:r w:rsidRPr="00E61C8B">
              <w:rPr>
                <w:sz w:val="14"/>
                <w:szCs w:val="14"/>
              </w:rPr>
              <w:t>1,</w:t>
            </w:r>
            <w:r w:rsidR="00E61C8B" w:rsidRPr="00E61C8B">
              <w:rPr>
                <w:sz w:val="14"/>
                <w:szCs w:val="14"/>
              </w:rPr>
              <w:t>873</w:t>
            </w:r>
          </w:p>
        </w:tc>
        <w:tc>
          <w:tcPr>
            <w:tcW w:w="77" w:type="dxa"/>
            <w:gridSpan w:val="3"/>
          </w:tcPr>
          <w:p w:rsidR="00B077AF" w:rsidRPr="0053635E" w:rsidRDefault="00B077AF" w:rsidP="007B6C8B">
            <w:pPr>
              <w:widowControl/>
              <w:tabs>
                <w:tab w:val="decimal" w:pos="806"/>
              </w:tabs>
              <w:overflowPunct w:val="0"/>
              <w:textAlignment w:val="baseline"/>
              <w:rPr>
                <w:sz w:val="14"/>
                <w:szCs w:val="14"/>
                <w:highlight w:val="yellow"/>
              </w:rPr>
            </w:pPr>
          </w:p>
        </w:tc>
        <w:tc>
          <w:tcPr>
            <w:tcW w:w="57" w:type="dxa"/>
            <w:gridSpan w:val="3"/>
          </w:tcPr>
          <w:p w:rsidR="00B077AF" w:rsidRPr="0053635E" w:rsidRDefault="00B077AF" w:rsidP="007B1E9E">
            <w:pPr>
              <w:widowControl/>
              <w:tabs>
                <w:tab w:val="decimal" w:pos="806"/>
              </w:tabs>
              <w:overflowPunct w:val="0"/>
              <w:textAlignment w:val="baseline"/>
              <w:rPr>
                <w:sz w:val="14"/>
                <w:szCs w:val="14"/>
                <w:highlight w:val="yellow"/>
              </w:rPr>
            </w:pPr>
          </w:p>
        </w:tc>
        <w:tc>
          <w:tcPr>
            <w:tcW w:w="936" w:type="dxa"/>
            <w:gridSpan w:val="3"/>
          </w:tcPr>
          <w:p w:rsidR="00B077AF" w:rsidRPr="00B44714" w:rsidRDefault="00B44714" w:rsidP="00B44714">
            <w:pPr>
              <w:widowControl/>
              <w:tabs>
                <w:tab w:val="decimal" w:pos="735"/>
              </w:tabs>
              <w:overflowPunct w:val="0"/>
              <w:textAlignment w:val="baseline"/>
              <w:rPr>
                <w:sz w:val="14"/>
                <w:szCs w:val="14"/>
              </w:rPr>
            </w:pPr>
            <w:r w:rsidRPr="00B44714">
              <w:rPr>
                <w:sz w:val="14"/>
                <w:szCs w:val="14"/>
              </w:rPr>
              <w:t>4</w:t>
            </w:r>
            <w:r w:rsidR="00E07DAF" w:rsidRPr="00B44714">
              <w:rPr>
                <w:sz w:val="14"/>
                <w:szCs w:val="14"/>
              </w:rPr>
              <w:t>,</w:t>
            </w:r>
            <w:r w:rsidRPr="00B44714">
              <w:rPr>
                <w:sz w:val="14"/>
                <w:szCs w:val="14"/>
              </w:rPr>
              <w:t>930</w:t>
            </w:r>
          </w:p>
        </w:tc>
      </w:tr>
      <w:tr w:rsidR="00B077AF" w:rsidRPr="0053635E" w:rsidTr="006C2959">
        <w:trPr>
          <w:gridBefore w:val="1"/>
          <w:wBefore w:w="13" w:type="dxa"/>
          <w:jc w:val="center"/>
        </w:trPr>
        <w:tc>
          <w:tcPr>
            <w:tcW w:w="510" w:type="dxa"/>
            <w:gridSpan w:val="2"/>
          </w:tcPr>
          <w:p w:rsidR="00B077AF" w:rsidRPr="006C2959" w:rsidRDefault="00B077AF" w:rsidP="00C73C62">
            <w:pPr>
              <w:widowControl/>
              <w:tabs>
                <w:tab w:val="right" w:leader="dot" w:pos="2440"/>
              </w:tabs>
              <w:suppressAutoHyphens/>
              <w:ind w:left="200" w:hanging="200"/>
              <w:rPr>
                <w:sz w:val="14"/>
              </w:rPr>
            </w:pPr>
            <w:r w:rsidRPr="006C2959">
              <w:rPr>
                <w:sz w:val="14"/>
              </w:rPr>
              <w:t>(d)</w:t>
            </w:r>
            <w:r w:rsidRPr="006C2959">
              <w:rPr>
                <w:sz w:val="14"/>
              </w:rPr>
              <w:tab/>
            </w:r>
          </w:p>
        </w:tc>
        <w:tc>
          <w:tcPr>
            <w:tcW w:w="1092"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150,000</w:t>
            </w:r>
          </w:p>
        </w:tc>
        <w:tc>
          <w:tcPr>
            <w:tcW w:w="977"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Jul-2008</w:t>
            </w:r>
          </w:p>
        </w:tc>
        <w:tc>
          <w:tcPr>
            <w:tcW w:w="834" w:type="dxa"/>
            <w:gridSpan w:val="2"/>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Oct-2014</w:t>
            </w:r>
          </w:p>
        </w:tc>
        <w:tc>
          <w:tcPr>
            <w:tcW w:w="854" w:type="dxa"/>
            <w:gridSpan w:val="3"/>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4.000%</w:t>
            </w:r>
          </w:p>
        </w:tc>
        <w:tc>
          <w:tcPr>
            <w:tcW w:w="738"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C2959">
              <w:rPr>
                <w:sz w:val="14"/>
              </w:rPr>
              <w:t>Aug-2012</w:t>
            </w:r>
          </w:p>
        </w:tc>
        <w:tc>
          <w:tcPr>
            <w:tcW w:w="815" w:type="dxa"/>
            <w:gridSpan w:val="2"/>
            <w:vAlign w:val="bottom"/>
          </w:tcPr>
          <w:p w:rsidR="00B077AF" w:rsidRPr="006F306D"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5,080</w:t>
            </w:r>
          </w:p>
        </w:tc>
        <w:tc>
          <w:tcPr>
            <w:tcW w:w="728" w:type="dxa"/>
            <w:gridSpan w:val="2"/>
          </w:tcPr>
          <w:p w:rsidR="00B077AF" w:rsidRPr="00B44714" w:rsidRDefault="00B077AF" w:rsidP="00FB486B">
            <w:pPr>
              <w:jc w:val="center"/>
            </w:pPr>
            <w:r w:rsidRPr="00B44714">
              <w:rPr>
                <w:sz w:val="14"/>
                <w:szCs w:val="14"/>
              </w:rPr>
              <w:t xml:space="preserve">  </w:t>
            </w:r>
            <w:r w:rsidR="00FB486B">
              <w:rPr>
                <w:sz w:val="14"/>
                <w:szCs w:val="14"/>
              </w:rPr>
              <w:t>1,377</w:t>
            </w:r>
          </w:p>
        </w:tc>
        <w:tc>
          <w:tcPr>
            <w:tcW w:w="675" w:type="dxa"/>
            <w:gridSpan w:val="2"/>
          </w:tcPr>
          <w:p w:rsidR="00B077AF" w:rsidRPr="00B44714" w:rsidRDefault="005254B6" w:rsidP="00B44714">
            <w:pPr>
              <w:widowControl/>
              <w:tabs>
                <w:tab w:val="decimal" w:pos="712"/>
              </w:tabs>
              <w:overflowPunct w:val="0"/>
              <w:textAlignment w:val="baseline"/>
              <w:rPr>
                <w:sz w:val="14"/>
                <w:szCs w:val="14"/>
              </w:rPr>
            </w:pPr>
            <w:r w:rsidRPr="00B44714">
              <w:rPr>
                <w:sz w:val="14"/>
                <w:szCs w:val="14"/>
              </w:rPr>
              <w:t>5</w:t>
            </w:r>
            <w:r w:rsidR="00B44714" w:rsidRPr="00B44714">
              <w:rPr>
                <w:sz w:val="14"/>
                <w:szCs w:val="14"/>
              </w:rPr>
              <w:t>83</w:t>
            </w:r>
          </w:p>
        </w:tc>
        <w:tc>
          <w:tcPr>
            <w:tcW w:w="581" w:type="dxa"/>
            <w:gridSpan w:val="2"/>
          </w:tcPr>
          <w:p w:rsidR="00B077AF" w:rsidRPr="00E61C8B" w:rsidRDefault="00E61C8B" w:rsidP="00E61C8B">
            <w:pPr>
              <w:widowControl/>
              <w:tabs>
                <w:tab w:val="decimal" w:pos="712"/>
              </w:tabs>
              <w:overflowPunct w:val="0"/>
              <w:textAlignment w:val="baseline"/>
              <w:rPr>
                <w:sz w:val="14"/>
                <w:szCs w:val="14"/>
              </w:rPr>
            </w:pPr>
            <w:r w:rsidRPr="00E61C8B">
              <w:rPr>
                <w:sz w:val="14"/>
                <w:szCs w:val="14"/>
              </w:rPr>
              <w:t>540</w:t>
            </w:r>
          </w:p>
        </w:tc>
        <w:tc>
          <w:tcPr>
            <w:tcW w:w="77" w:type="dxa"/>
            <w:gridSpan w:val="3"/>
          </w:tcPr>
          <w:p w:rsidR="00B077AF" w:rsidRPr="0053635E" w:rsidRDefault="00B077AF" w:rsidP="007B6C8B">
            <w:pPr>
              <w:widowControl/>
              <w:tabs>
                <w:tab w:val="decimal" w:pos="806"/>
              </w:tabs>
              <w:overflowPunct w:val="0"/>
              <w:textAlignment w:val="baseline"/>
              <w:rPr>
                <w:sz w:val="14"/>
                <w:szCs w:val="14"/>
                <w:highlight w:val="yellow"/>
              </w:rPr>
            </w:pPr>
          </w:p>
        </w:tc>
        <w:tc>
          <w:tcPr>
            <w:tcW w:w="57" w:type="dxa"/>
            <w:gridSpan w:val="3"/>
          </w:tcPr>
          <w:p w:rsidR="00B077AF" w:rsidRPr="0053635E" w:rsidRDefault="00B077AF" w:rsidP="007B1E9E">
            <w:pPr>
              <w:widowControl/>
              <w:tabs>
                <w:tab w:val="decimal" w:pos="806"/>
              </w:tabs>
              <w:overflowPunct w:val="0"/>
              <w:textAlignment w:val="baseline"/>
              <w:rPr>
                <w:sz w:val="14"/>
                <w:szCs w:val="14"/>
                <w:highlight w:val="yellow"/>
              </w:rPr>
            </w:pPr>
          </w:p>
        </w:tc>
        <w:tc>
          <w:tcPr>
            <w:tcW w:w="936" w:type="dxa"/>
            <w:gridSpan w:val="3"/>
          </w:tcPr>
          <w:p w:rsidR="00B077AF" w:rsidRPr="00B44714" w:rsidRDefault="00B44714" w:rsidP="00B44714">
            <w:pPr>
              <w:widowControl/>
              <w:tabs>
                <w:tab w:val="decimal" w:pos="735"/>
              </w:tabs>
              <w:overflowPunct w:val="0"/>
              <w:textAlignment w:val="baseline"/>
              <w:rPr>
                <w:sz w:val="14"/>
                <w:szCs w:val="14"/>
              </w:rPr>
            </w:pPr>
            <w:r w:rsidRPr="00B44714">
              <w:rPr>
                <w:sz w:val="14"/>
                <w:szCs w:val="14"/>
              </w:rPr>
              <w:t>1</w:t>
            </w:r>
            <w:r w:rsidR="00E07DAF" w:rsidRPr="00B44714">
              <w:rPr>
                <w:sz w:val="14"/>
                <w:szCs w:val="14"/>
              </w:rPr>
              <w:t>,</w:t>
            </w:r>
            <w:r w:rsidRPr="00B44714">
              <w:rPr>
                <w:sz w:val="14"/>
                <w:szCs w:val="14"/>
              </w:rPr>
              <w:t>376</w:t>
            </w:r>
          </w:p>
        </w:tc>
      </w:tr>
      <w:tr w:rsidR="00B077AF" w:rsidRPr="00B44714" w:rsidTr="006C2959">
        <w:trPr>
          <w:gridBefore w:val="1"/>
          <w:gridAfter w:val="2"/>
          <w:wBefore w:w="13" w:type="dxa"/>
          <w:wAfter w:w="24" w:type="dxa"/>
          <w:jc w:val="center"/>
        </w:trPr>
        <w:tc>
          <w:tcPr>
            <w:tcW w:w="510" w:type="dxa"/>
            <w:gridSpan w:val="2"/>
          </w:tcPr>
          <w:p w:rsidR="00B077AF" w:rsidRPr="006C2959" w:rsidRDefault="00B077AF" w:rsidP="00C73C62">
            <w:pPr>
              <w:widowControl/>
              <w:tabs>
                <w:tab w:val="right" w:leader="dot" w:pos="2440"/>
              </w:tabs>
              <w:suppressAutoHyphens/>
              <w:spacing w:after="20"/>
              <w:ind w:left="200" w:hanging="200"/>
              <w:rPr>
                <w:sz w:val="14"/>
              </w:rPr>
            </w:pPr>
            <w:r w:rsidRPr="006C2959">
              <w:rPr>
                <w:sz w:val="14"/>
              </w:rPr>
              <w:t>(d)</w:t>
            </w:r>
            <w:r w:rsidRPr="006C2959">
              <w:rPr>
                <w:sz w:val="14"/>
              </w:rPr>
              <w:tab/>
            </w:r>
          </w:p>
        </w:tc>
        <w:tc>
          <w:tcPr>
            <w:tcW w:w="1092"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4"/>
              </w:rPr>
            </w:pPr>
            <w:r w:rsidRPr="006C2959">
              <w:rPr>
                <w:sz w:val="14"/>
              </w:rPr>
              <w:t>427,407</w:t>
            </w:r>
          </w:p>
        </w:tc>
        <w:tc>
          <w:tcPr>
            <w:tcW w:w="977"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4"/>
              </w:rPr>
            </w:pPr>
            <w:r w:rsidRPr="006C2959">
              <w:rPr>
                <w:sz w:val="14"/>
              </w:rPr>
              <w:t>Oct-2014</w:t>
            </w:r>
          </w:p>
        </w:tc>
        <w:tc>
          <w:tcPr>
            <w:tcW w:w="834" w:type="dxa"/>
            <w:gridSpan w:val="2"/>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4"/>
              </w:rPr>
            </w:pPr>
            <w:r w:rsidRPr="006C2959">
              <w:rPr>
                <w:sz w:val="14"/>
              </w:rPr>
              <w:t>Oct-2017</w:t>
            </w:r>
          </w:p>
        </w:tc>
        <w:tc>
          <w:tcPr>
            <w:tcW w:w="854" w:type="dxa"/>
            <w:gridSpan w:val="3"/>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4"/>
              </w:rPr>
            </w:pPr>
            <w:r w:rsidRPr="006C2959">
              <w:rPr>
                <w:sz w:val="14"/>
              </w:rPr>
              <w:t>5.174%</w:t>
            </w:r>
          </w:p>
        </w:tc>
        <w:tc>
          <w:tcPr>
            <w:tcW w:w="738" w:type="dxa"/>
            <w:vAlign w:val="bottom"/>
          </w:tcPr>
          <w:p w:rsidR="00B077AF" w:rsidRPr="006C2959" w:rsidRDefault="00B077AF"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14"/>
              </w:rPr>
            </w:pPr>
            <w:r w:rsidRPr="006C2959">
              <w:rPr>
                <w:sz w:val="14"/>
              </w:rPr>
              <w:t>Aug-2012</w:t>
            </w:r>
          </w:p>
        </w:tc>
        <w:tc>
          <w:tcPr>
            <w:tcW w:w="815" w:type="dxa"/>
            <w:gridSpan w:val="2"/>
            <w:tcBorders>
              <w:bottom w:val="single" w:sz="4" w:space="0" w:color="auto"/>
            </w:tcBorders>
            <w:vAlign w:val="bottom"/>
          </w:tcPr>
          <w:p w:rsidR="00B077AF" w:rsidRPr="006F306D" w:rsidRDefault="00B077AF" w:rsidP="00E65B3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14"/>
              </w:rPr>
            </w:pPr>
            <w:r w:rsidRPr="006F306D">
              <w:rPr>
                <w:sz w:val="14"/>
              </w:rPr>
              <w:t>46,372</w:t>
            </w:r>
          </w:p>
        </w:tc>
        <w:tc>
          <w:tcPr>
            <w:tcW w:w="728" w:type="dxa"/>
            <w:gridSpan w:val="2"/>
            <w:tcBorders>
              <w:bottom w:val="single" w:sz="4" w:space="0" w:color="auto"/>
            </w:tcBorders>
          </w:tcPr>
          <w:p w:rsidR="00B077AF" w:rsidRPr="00B44714" w:rsidRDefault="005254B6" w:rsidP="00B44714">
            <w:pPr>
              <w:jc w:val="center"/>
            </w:pPr>
            <w:r w:rsidRPr="00B44714">
              <w:rPr>
                <w:sz w:val="14"/>
                <w:szCs w:val="14"/>
              </w:rPr>
              <w:t>46</w:t>
            </w:r>
            <w:r w:rsidR="00B077AF" w:rsidRPr="00B44714">
              <w:rPr>
                <w:sz w:val="14"/>
                <w:szCs w:val="14"/>
              </w:rPr>
              <w:t>,</w:t>
            </w:r>
            <w:r w:rsidRPr="00B44714">
              <w:rPr>
                <w:sz w:val="14"/>
                <w:szCs w:val="14"/>
              </w:rPr>
              <w:t>372</w:t>
            </w:r>
          </w:p>
        </w:tc>
        <w:tc>
          <w:tcPr>
            <w:tcW w:w="675" w:type="dxa"/>
            <w:gridSpan w:val="2"/>
            <w:tcBorders>
              <w:bottom w:val="single" w:sz="4" w:space="0" w:color="auto"/>
            </w:tcBorders>
          </w:tcPr>
          <w:p w:rsidR="00B077AF" w:rsidRPr="00B44714" w:rsidRDefault="00B077AF" w:rsidP="00C73C62">
            <w:pPr>
              <w:widowControl/>
              <w:tabs>
                <w:tab w:val="decimal" w:pos="712"/>
              </w:tabs>
              <w:overflowPunct w:val="0"/>
              <w:textAlignment w:val="baseline"/>
              <w:rPr>
                <w:sz w:val="14"/>
                <w:szCs w:val="14"/>
              </w:rPr>
            </w:pPr>
            <w:r w:rsidRPr="00B44714">
              <w:rPr>
                <w:sz w:val="14"/>
                <w:szCs w:val="14"/>
              </w:rPr>
              <w:t>–</w:t>
            </w:r>
          </w:p>
        </w:tc>
        <w:tc>
          <w:tcPr>
            <w:tcW w:w="581" w:type="dxa"/>
            <w:gridSpan w:val="2"/>
            <w:tcBorders>
              <w:bottom w:val="single" w:sz="4" w:space="0" w:color="auto"/>
            </w:tcBorders>
          </w:tcPr>
          <w:p w:rsidR="00B077AF" w:rsidRPr="00E61C8B" w:rsidRDefault="00B077AF" w:rsidP="00C73C62">
            <w:pPr>
              <w:widowControl/>
              <w:tabs>
                <w:tab w:val="decimal" w:pos="712"/>
              </w:tabs>
              <w:overflowPunct w:val="0"/>
              <w:textAlignment w:val="baseline"/>
              <w:rPr>
                <w:sz w:val="14"/>
                <w:szCs w:val="14"/>
              </w:rPr>
            </w:pPr>
            <w:r w:rsidRPr="00E61C8B">
              <w:rPr>
                <w:sz w:val="14"/>
                <w:szCs w:val="14"/>
              </w:rPr>
              <w:t>–</w:t>
            </w:r>
          </w:p>
        </w:tc>
        <w:tc>
          <w:tcPr>
            <w:tcW w:w="53" w:type="dxa"/>
            <w:tcBorders>
              <w:bottom w:val="single" w:sz="4" w:space="0" w:color="auto"/>
            </w:tcBorders>
          </w:tcPr>
          <w:p w:rsidR="00B077AF" w:rsidRPr="0053635E" w:rsidRDefault="00B077AF" w:rsidP="00C73C62">
            <w:pPr>
              <w:widowControl/>
              <w:tabs>
                <w:tab w:val="decimal" w:pos="806"/>
              </w:tabs>
              <w:overflowPunct w:val="0"/>
              <w:textAlignment w:val="baseline"/>
              <w:rPr>
                <w:sz w:val="14"/>
                <w:szCs w:val="14"/>
                <w:highlight w:val="yellow"/>
              </w:rPr>
            </w:pPr>
          </w:p>
        </w:tc>
        <w:tc>
          <w:tcPr>
            <w:tcW w:w="57" w:type="dxa"/>
            <w:gridSpan w:val="3"/>
            <w:tcBorders>
              <w:bottom w:val="single" w:sz="4" w:space="0" w:color="auto"/>
            </w:tcBorders>
          </w:tcPr>
          <w:p w:rsidR="00B077AF" w:rsidRPr="0053635E" w:rsidRDefault="00B077AF" w:rsidP="00C73C62">
            <w:pPr>
              <w:widowControl/>
              <w:tabs>
                <w:tab w:val="decimal" w:pos="806"/>
              </w:tabs>
              <w:overflowPunct w:val="0"/>
              <w:textAlignment w:val="baseline"/>
              <w:rPr>
                <w:sz w:val="14"/>
                <w:szCs w:val="14"/>
                <w:highlight w:val="yellow"/>
              </w:rPr>
            </w:pPr>
          </w:p>
        </w:tc>
        <w:tc>
          <w:tcPr>
            <w:tcW w:w="936" w:type="dxa"/>
            <w:gridSpan w:val="3"/>
            <w:tcBorders>
              <w:bottom w:val="single" w:sz="4" w:space="0" w:color="auto"/>
            </w:tcBorders>
          </w:tcPr>
          <w:p w:rsidR="00B077AF" w:rsidRPr="00B44714" w:rsidRDefault="00B44714" w:rsidP="00B44714">
            <w:pPr>
              <w:widowControl/>
              <w:tabs>
                <w:tab w:val="decimal" w:pos="735"/>
              </w:tabs>
              <w:overflowPunct w:val="0"/>
              <w:textAlignment w:val="baseline"/>
              <w:rPr>
                <w:sz w:val="14"/>
                <w:szCs w:val="14"/>
              </w:rPr>
            </w:pPr>
            <w:r w:rsidRPr="00B44714">
              <w:rPr>
                <w:sz w:val="14"/>
                <w:szCs w:val="14"/>
              </w:rPr>
              <w:t>7,911</w:t>
            </w:r>
          </w:p>
        </w:tc>
      </w:tr>
      <w:tr w:rsidR="00E65B32" w:rsidRPr="0053635E" w:rsidTr="006C2959">
        <w:trPr>
          <w:gridBefore w:val="1"/>
          <w:wBefore w:w="13" w:type="dxa"/>
          <w:jc w:val="center"/>
        </w:trPr>
        <w:tc>
          <w:tcPr>
            <w:tcW w:w="510" w:type="dxa"/>
            <w:gridSpan w:val="2"/>
          </w:tcPr>
          <w:p w:rsidR="00E65B32" w:rsidRPr="006C2959" w:rsidRDefault="00E65B32" w:rsidP="002E29FD">
            <w:pPr>
              <w:widowControl/>
              <w:tabs>
                <w:tab w:val="right" w:leader="dot" w:pos="2440"/>
              </w:tabs>
              <w:suppressAutoHyphens/>
              <w:spacing w:after="40"/>
              <w:ind w:left="200" w:hanging="200"/>
              <w:rPr>
                <w:sz w:val="14"/>
              </w:rPr>
            </w:pPr>
            <w:r w:rsidRPr="006C2959">
              <w:rPr>
                <w:sz w:val="14"/>
              </w:rPr>
              <w:t>Total</w:t>
            </w:r>
          </w:p>
        </w:tc>
        <w:tc>
          <w:tcPr>
            <w:tcW w:w="1092"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4"/>
              </w:rPr>
            </w:pPr>
          </w:p>
        </w:tc>
        <w:tc>
          <w:tcPr>
            <w:tcW w:w="977"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4"/>
              </w:rPr>
            </w:pPr>
          </w:p>
        </w:tc>
        <w:tc>
          <w:tcPr>
            <w:tcW w:w="834" w:type="dxa"/>
            <w:gridSpan w:val="2"/>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4"/>
              </w:rPr>
            </w:pPr>
          </w:p>
        </w:tc>
        <w:tc>
          <w:tcPr>
            <w:tcW w:w="854" w:type="dxa"/>
            <w:gridSpan w:val="3"/>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4"/>
              </w:rPr>
            </w:pPr>
          </w:p>
        </w:tc>
        <w:tc>
          <w:tcPr>
            <w:tcW w:w="738" w:type="dxa"/>
            <w:vAlign w:val="bottom"/>
          </w:tcPr>
          <w:p w:rsidR="00E65B32" w:rsidRPr="006C2959" w:rsidRDefault="00E65B32" w:rsidP="00C73C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4"/>
              </w:rPr>
            </w:pPr>
          </w:p>
        </w:tc>
        <w:tc>
          <w:tcPr>
            <w:tcW w:w="815" w:type="dxa"/>
            <w:gridSpan w:val="2"/>
            <w:tcBorders>
              <w:top w:val="single" w:sz="4" w:space="0" w:color="auto"/>
            </w:tcBorders>
            <w:vAlign w:val="bottom"/>
          </w:tcPr>
          <w:p w:rsidR="00E65B32" w:rsidRPr="006F306D" w:rsidRDefault="00E65B32" w:rsidP="00B077AF">
            <w:pPr>
              <w:widowControl/>
              <w:pBdr>
                <w:bottom w:val="double" w:sz="4" w:space="0" w:color="auto"/>
              </w:pBdr>
              <w:tabs>
                <w:tab w:val="left" w:pos="0"/>
                <w:tab w:val="left" w:pos="216"/>
                <w:tab w:val="left" w:pos="432"/>
                <w:tab w:val="left" w:pos="648"/>
                <w:tab w:val="left" w:pos="925"/>
                <w:tab w:val="left" w:pos="1080"/>
                <w:tab w:val="left" w:pos="1296"/>
                <w:tab w:val="left" w:pos="1512"/>
                <w:tab w:val="left" w:pos="1728"/>
                <w:tab w:val="left" w:pos="1944"/>
              </w:tabs>
              <w:suppressAutoHyphens/>
              <w:spacing w:after="40"/>
              <w:jc w:val="right"/>
              <w:rPr>
                <w:sz w:val="14"/>
              </w:rPr>
            </w:pPr>
            <w:r w:rsidRPr="006F306D">
              <w:rPr>
                <w:sz w:val="14"/>
              </w:rPr>
              <w:t>$</w:t>
            </w:r>
            <w:r w:rsidR="00B077AF" w:rsidRPr="006F306D">
              <w:rPr>
                <w:sz w:val="14"/>
              </w:rPr>
              <w:t xml:space="preserve">      </w:t>
            </w:r>
            <w:r w:rsidRPr="006F306D">
              <w:rPr>
                <w:sz w:val="14"/>
              </w:rPr>
              <w:t>127,529</w:t>
            </w:r>
          </w:p>
        </w:tc>
        <w:tc>
          <w:tcPr>
            <w:tcW w:w="728" w:type="dxa"/>
            <w:gridSpan w:val="2"/>
            <w:tcBorders>
              <w:top w:val="single" w:sz="4" w:space="0" w:color="auto"/>
            </w:tcBorders>
            <w:vAlign w:val="bottom"/>
          </w:tcPr>
          <w:p w:rsidR="00E65B32" w:rsidRPr="00B44714" w:rsidRDefault="0032307F" w:rsidP="00FB486B">
            <w:pPr>
              <w:widowControl/>
              <w:pBdr>
                <w:bottom w:val="double" w:sz="4" w:space="0" w:color="auto"/>
              </w:pBdr>
              <w:tabs>
                <w:tab w:val="left" w:pos="0"/>
                <w:tab w:val="left" w:pos="57"/>
                <w:tab w:val="left" w:pos="237"/>
                <w:tab w:val="left" w:pos="864"/>
                <w:tab w:val="left" w:pos="1080"/>
                <w:tab w:val="left" w:pos="1296"/>
                <w:tab w:val="left" w:pos="1512"/>
                <w:tab w:val="left" w:pos="1728"/>
                <w:tab w:val="left" w:pos="1944"/>
              </w:tabs>
              <w:suppressAutoHyphens/>
              <w:spacing w:after="40"/>
              <w:rPr>
                <w:sz w:val="14"/>
              </w:rPr>
            </w:pPr>
            <w:r>
              <w:rPr>
                <w:sz w:val="14"/>
              </w:rPr>
              <w:t xml:space="preserve"> $  </w:t>
            </w:r>
            <w:r w:rsidR="00FB486B">
              <w:rPr>
                <w:sz w:val="14"/>
              </w:rPr>
              <w:t>6</w:t>
            </w:r>
            <w:r w:rsidR="00B44714" w:rsidRPr="00B44714">
              <w:rPr>
                <w:sz w:val="14"/>
              </w:rPr>
              <w:t>1,7</w:t>
            </w:r>
            <w:r w:rsidR="00FB486B">
              <w:rPr>
                <w:sz w:val="14"/>
              </w:rPr>
              <w:t>62</w:t>
            </w:r>
            <w:r w:rsidR="00B44714" w:rsidRPr="00B44714">
              <w:rPr>
                <w:sz w:val="14"/>
              </w:rPr>
              <w:t xml:space="preserve">   </w:t>
            </w:r>
          </w:p>
        </w:tc>
        <w:tc>
          <w:tcPr>
            <w:tcW w:w="675" w:type="dxa"/>
            <w:gridSpan w:val="2"/>
            <w:tcBorders>
              <w:top w:val="single" w:sz="4" w:space="0" w:color="auto"/>
            </w:tcBorders>
            <w:vAlign w:val="bottom"/>
          </w:tcPr>
          <w:p w:rsidR="00E65B32" w:rsidRPr="00B44714" w:rsidRDefault="00E65B32" w:rsidP="00B44714">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4"/>
              </w:rPr>
            </w:pPr>
            <w:r w:rsidRPr="00B44714">
              <w:rPr>
                <w:sz w:val="14"/>
              </w:rPr>
              <w:t>$</w:t>
            </w:r>
            <w:r w:rsidR="00E07DAF" w:rsidRPr="00B44714">
              <w:rPr>
                <w:sz w:val="14"/>
              </w:rPr>
              <w:t xml:space="preserve">   </w:t>
            </w:r>
            <w:r w:rsidR="00B077AF" w:rsidRPr="00B44714">
              <w:rPr>
                <w:sz w:val="14"/>
              </w:rPr>
              <w:t xml:space="preserve">   </w:t>
            </w:r>
            <w:r w:rsidR="007B6C8B" w:rsidRPr="00B44714">
              <w:rPr>
                <w:sz w:val="14"/>
              </w:rPr>
              <w:t>4</w:t>
            </w:r>
            <w:r w:rsidR="005254B6" w:rsidRPr="00B44714">
              <w:rPr>
                <w:sz w:val="14"/>
              </w:rPr>
              <w:t>,</w:t>
            </w:r>
            <w:r w:rsidR="00B44714" w:rsidRPr="00B44714">
              <w:rPr>
                <w:sz w:val="14"/>
              </w:rPr>
              <w:t>606</w:t>
            </w:r>
          </w:p>
        </w:tc>
        <w:tc>
          <w:tcPr>
            <w:tcW w:w="581" w:type="dxa"/>
            <w:gridSpan w:val="2"/>
            <w:tcBorders>
              <w:top w:val="single" w:sz="4" w:space="0" w:color="auto"/>
            </w:tcBorders>
            <w:vAlign w:val="bottom"/>
          </w:tcPr>
          <w:p w:rsidR="00E65B32" w:rsidRPr="00E61C8B" w:rsidRDefault="00E65B32" w:rsidP="00E61C8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4"/>
              </w:rPr>
            </w:pPr>
            <w:r w:rsidRPr="00E61C8B">
              <w:rPr>
                <w:sz w:val="14"/>
              </w:rPr>
              <w:t>$</w:t>
            </w:r>
            <w:r w:rsidR="00B077AF" w:rsidRPr="00E61C8B">
              <w:rPr>
                <w:sz w:val="14"/>
              </w:rPr>
              <w:t xml:space="preserve"> </w:t>
            </w:r>
            <w:r w:rsidR="00E61C8B" w:rsidRPr="00E61C8B">
              <w:rPr>
                <w:sz w:val="14"/>
              </w:rPr>
              <w:t>5</w:t>
            </w:r>
            <w:r w:rsidR="007B1E9E" w:rsidRPr="00E61C8B">
              <w:rPr>
                <w:sz w:val="14"/>
              </w:rPr>
              <w:t>,</w:t>
            </w:r>
            <w:r w:rsidR="00E61C8B" w:rsidRPr="00E61C8B">
              <w:rPr>
                <w:sz w:val="14"/>
              </w:rPr>
              <w:t>217</w:t>
            </w:r>
          </w:p>
        </w:tc>
        <w:tc>
          <w:tcPr>
            <w:tcW w:w="77" w:type="dxa"/>
            <w:gridSpan w:val="3"/>
            <w:tcBorders>
              <w:top w:val="single" w:sz="4" w:space="0" w:color="auto"/>
            </w:tcBorders>
            <w:vAlign w:val="bottom"/>
          </w:tcPr>
          <w:p w:rsidR="00E65B32" w:rsidRPr="0053635E" w:rsidRDefault="00E65B32" w:rsidP="007B6C8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4"/>
                <w:highlight w:val="yellow"/>
              </w:rPr>
            </w:pPr>
          </w:p>
        </w:tc>
        <w:tc>
          <w:tcPr>
            <w:tcW w:w="57" w:type="dxa"/>
            <w:gridSpan w:val="3"/>
            <w:tcBorders>
              <w:top w:val="single" w:sz="4" w:space="0" w:color="auto"/>
            </w:tcBorders>
            <w:vAlign w:val="bottom"/>
          </w:tcPr>
          <w:p w:rsidR="00E65B32" w:rsidRPr="0053635E" w:rsidRDefault="00E65B32" w:rsidP="007B1E9E">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14"/>
                <w:highlight w:val="yellow"/>
              </w:rPr>
            </w:pPr>
          </w:p>
        </w:tc>
        <w:tc>
          <w:tcPr>
            <w:tcW w:w="936" w:type="dxa"/>
            <w:gridSpan w:val="3"/>
            <w:tcBorders>
              <w:top w:val="single" w:sz="4" w:space="0" w:color="auto"/>
            </w:tcBorders>
            <w:vAlign w:val="bottom"/>
          </w:tcPr>
          <w:p w:rsidR="00E65B32" w:rsidRPr="00B44714" w:rsidRDefault="00E65B32" w:rsidP="00B44714">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center"/>
              <w:rPr>
                <w:sz w:val="14"/>
              </w:rPr>
            </w:pPr>
            <w:r w:rsidRPr="00B44714">
              <w:rPr>
                <w:sz w:val="14"/>
              </w:rPr>
              <w:t>$</w:t>
            </w:r>
            <w:r w:rsidR="00B077AF" w:rsidRPr="00B44714">
              <w:rPr>
                <w:sz w:val="14"/>
              </w:rPr>
              <w:t xml:space="preserve">    </w:t>
            </w:r>
            <w:r w:rsidR="00E07DAF" w:rsidRPr="00B44714">
              <w:rPr>
                <w:sz w:val="14"/>
              </w:rPr>
              <w:t>1</w:t>
            </w:r>
            <w:r w:rsidR="00B44714" w:rsidRPr="00B44714">
              <w:rPr>
                <w:sz w:val="14"/>
              </w:rPr>
              <w:t>9</w:t>
            </w:r>
            <w:r w:rsidRPr="00B44714">
              <w:rPr>
                <w:sz w:val="14"/>
              </w:rPr>
              <w:t>,</w:t>
            </w:r>
            <w:r w:rsidR="00B44714" w:rsidRPr="00B44714">
              <w:rPr>
                <w:sz w:val="14"/>
              </w:rPr>
              <w:t>100</w:t>
            </w:r>
          </w:p>
        </w:tc>
      </w:tr>
      <w:tr w:rsidR="00E65B32" w:rsidRPr="0053635E" w:rsidTr="006C2959">
        <w:trPr>
          <w:gridBefore w:val="1"/>
          <w:wBefore w:w="13" w:type="dxa"/>
          <w:jc w:val="center"/>
        </w:trPr>
        <w:tc>
          <w:tcPr>
            <w:tcW w:w="510" w:type="dxa"/>
            <w:gridSpan w:val="2"/>
          </w:tcPr>
          <w:p w:rsidR="00E65B32" w:rsidRPr="0053635E" w:rsidRDefault="00E65B32" w:rsidP="00602F5D">
            <w:pPr>
              <w:widowControl/>
              <w:tabs>
                <w:tab w:val="decimal" w:pos="105"/>
              </w:tabs>
              <w:overflowPunct w:val="0"/>
              <w:jc w:val="center"/>
              <w:textAlignment w:val="baseline"/>
              <w:rPr>
                <w:sz w:val="14"/>
                <w:szCs w:val="14"/>
                <w:highlight w:val="yellow"/>
              </w:rPr>
            </w:pPr>
          </w:p>
        </w:tc>
        <w:tc>
          <w:tcPr>
            <w:tcW w:w="1092" w:type="dxa"/>
          </w:tcPr>
          <w:p w:rsidR="00E65B32" w:rsidRPr="0053635E" w:rsidRDefault="00E65B32" w:rsidP="005361FF">
            <w:pPr>
              <w:widowControl/>
              <w:tabs>
                <w:tab w:val="decimal" w:pos="754"/>
              </w:tabs>
              <w:overflowPunct w:val="0"/>
              <w:ind w:left="-131"/>
              <w:textAlignment w:val="baseline"/>
              <w:rPr>
                <w:sz w:val="14"/>
                <w:szCs w:val="14"/>
                <w:highlight w:val="yellow"/>
              </w:rPr>
            </w:pPr>
          </w:p>
        </w:tc>
        <w:tc>
          <w:tcPr>
            <w:tcW w:w="977" w:type="dxa"/>
          </w:tcPr>
          <w:p w:rsidR="00E65B32" w:rsidRPr="0053635E" w:rsidRDefault="00E65B32" w:rsidP="00F6531C">
            <w:pPr>
              <w:widowControl/>
              <w:overflowPunct w:val="0"/>
              <w:ind w:left="-108" w:right="104"/>
              <w:jc w:val="right"/>
              <w:textAlignment w:val="baseline"/>
              <w:rPr>
                <w:sz w:val="14"/>
                <w:szCs w:val="14"/>
                <w:highlight w:val="yellow"/>
              </w:rPr>
            </w:pPr>
          </w:p>
        </w:tc>
        <w:tc>
          <w:tcPr>
            <w:tcW w:w="834" w:type="dxa"/>
            <w:gridSpan w:val="2"/>
          </w:tcPr>
          <w:p w:rsidR="00E65B32" w:rsidRPr="0053635E" w:rsidRDefault="00E65B32" w:rsidP="00602F5D">
            <w:pPr>
              <w:widowControl/>
              <w:overflowPunct w:val="0"/>
              <w:jc w:val="right"/>
              <w:textAlignment w:val="baseline"/>
              <w:rPr>
                <w:sz w:val="14"/>
                <w:szCs w:val="14"/>
                <w:highlight w:val="yellow"/>
              </w:rPr>
            </w:pPr>
          </w:p>
        </w:tc>
        <w:tc>
          <w:tcPr>
            <w:tcW w:w="854" w:type="dxa"/>
            <w:gridSpan w:val="3"/>
          </w:tcPr>
          <w:p w:rsidR="00E65B32" w:rsidRPr="0053635E" w:rsidRDefault="00E65B32" w:rsidP="00602F5D">
            <w:pPr>
              <w:widowControl/>
              <w:tabs>
                <w:tab w:val="decimal" w:pos="172"/>
              </w:tabs>
              <w:overflowPunct w:val="0"/>
              <w:jc w:val="center"/>
              <w:textAlignment w:val="baseline"/>
              <w:rPr>
                <w:sz w:val="14"/>
                <w:szCs w:val="14"/>
                <w:highlight w:val="yellow"/>
              </w:rPr>
            </w:pPr>
          </w:p>
        </w:tc>
        <w:tc>
          <w:tcPr>
            <w:tcW w:w="738" w:type="dxa"/>
          </w:tcPr>
          <w:p w:rsidR="00E65B32" w:rsidRPr="0053635E" w:rsidRDefault="00E65B32" w:rsidP="00602F5D">
            <w:pPr>
              <w:widowControl/>
              <w:tabs>
                <w:tab w:val="decimal" w:pos="172"/>
              </w:tabs>
              <w:overflowPunct w:val="0"/>
              <w:jc w:val="center"/>
              <w:textAlignment w:val="baseline"/>
              <w:rPr>
                <w:sz w:val="14"/>
                <w:szCs w:val="14"/>
                <w:highlight w:val="yellow"/>
              </w:rPr>
            </w:pPr>
          </w:p>
        </w:tc>
        <w:tc>
          <w:tcPr>
            <w:tcW w:w="815" w:type="dxa"/>
            <w:gridSpan w:val="2"/>
          </w:tcPr>
          <w:p w:rsidR="00E65B32" w:rsidRPr="0053635E" w:rsidRDefault="00E65B32" w:rsidP="00602F5D">
            <w:pPr>
              <w:widowControl/>
              <w:tabs>
                <w:tab w:val="decimal" w:pos="563"/>
              </w:tabs>
              <w:overflowPunct w:val="0"/>
              <w:textAlignment w:val="baseline"/>
              <w:rPr>
                <w:sz w:val="14"/>
                <w:szCs w:val="14"/>
                <w:highlight w:val="yellow"/>
              </w:rPr>
            </w:pPr>
          </w:p>
        </w:tc>
        <w:tc>
          <w:tcPr>
            <w:tcW w:w="728" w:type="dxa"/>
            <w:gridSpan w:val="2"/>
          </w:tcPr>
          <w:p w:rsidR="00E65B32" w:rsidRPr="0053635E" w:rsidRDefault="00E65B32" w:rsidP="00602F5D">
            <w:pPr>
              <w:widowControl/>
              <w:tabs>
                <w:tab w:val="decimal" w:pos="563"/>
              </w:tabs>
              <w:overflowPunct w:val="0"/>
              <w:textAlignment w:val="baseline"/>
              <w:rPr>
                <w:sz w:val="14"/>
                <w:szCs w:val="14"/>
                <w:highlight w:val="yellow"/>
              </w:rPr>
            </w:pPr>
          </w:p>
        </w:tc>
        <w:tc>
          <w:tcPr>
            <w:tcW w:w="675" w:type="dxa"/>
            <w:gridSpan w:val="2"/>
          </w:tcPr>
          <w:p w:rsidR="00E65B32" w:rsidRPr="0053635E" w:rsidRDefault="00E65B32" w:rsidP="00602F5D">
            <w:pPr>
              <w:widowControl/>
              <w:tabs>
                <w:tab w:val="decimal" w:pos="712"/>
              </w:tabs>
              <w:overflowPunct w:val="0"/>
              <w:textAlignment w:val="baseline"/>
              <w:rPr>
                <w:sz w:val="14"/>
                <w:szCs w:val="14"/>
                <w:highlight w:val="yellow"/>
              </w:rPr>
            </w:pPr>
          </w:p>
        </w:tc>
        <w:tc>
          <w:tcPr>
            <w:tcW w:w="581" w:type="dxa"/>
            <w:gridSpan w:val="2"/>
          </w:tcPr>
          <w:p w:rsidR="00E65B32" w:rsidRPr="0053635E" w:rsidRDefault="00E65B32" w:rsidP="00602F5D">
            <w:pPr>
              <w:widowControl/>
              <w:tabs>
                <w:tab w:val="decimal" w:pos="712"/>
              </w:tabs>
              <w:overflowPunct w:val="0"/>
              <w:textAlignment w:val="baseline"/>
              <w:rPr>
                <w:sz w:val="14"/>
                <w:szCs w:val="14"/>
                <w:highlight w:val="yellow"/>
              </w:rPr>
            </w:pPr>
          </w:p>
        </w:tc>
        <w:tc>
          <w:tcPr>
            <w:tcW w:w="77" w:type="dxa"/>
            <w:gridSpan w:val="3"/>
          </w:tcPr>
          <w:p w:rsidR="00E65B32" w:rsidRPr="0053635E" w:rsidRDefault="00E65B32" w:rsidP="00602F5D">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602F5D">
            <w:pPr>
              <w:widowControl/>
              <w:tabs>
                <w:tab w:val="decimal" w:pos="806"/>
              </w:tabs>
              <w:overflowPunct w:val="0"/>
              <w:textAlignment w:val="baseline"/>
              <w:rPr>
                <w:sz w:val="14"/>
                <w:szCs w:val="14"/>
                <w:highlight w:val="yellow"/>
              </w:rPr>
            </w:pPr>
          </w:p>
        </w:tc>
        <w:tc>
          <w:tcPr>
            <w:tcW w:w="936" w:type="dxa"/>
            <w:gridSpan w:val="3"/>
          </w:tcPr>
          <w:p w:rsidR="00E65B32" w:rsidRPr="0053635E" w:rsidRDefault="00E65B32" w:rsidP="00602F5D">
            <w:pPr>
              <w:widowControl/>
              <w:tabs>
                <w:tab w:val="decimal" w:pos="735"/>
              </w:tabs>
              <w:overflowPunct w:val="0"/>
              <w:textAlignment w:val="baseline"/>
              <w:rPr>
                <w:sz w:val="14"/>
                <w:szCs w:val="14"/>
                <w:highlight w:val="yellow"/>
              </w:rPr>
            </w:pPr>
          </w:p>
        </w:tc>
      </w:tr>
      <w:tr w:rsidR="00E65B32" w:rsidRPr="0053635E" w:rsidTr="006C2959">
        <w:trPr>
          <w:gridBefore w:val="1"/>
          <w:wBefore w:w="13" w:type="dxa"/>
          <w:jc w:val="center"/>
        </w:trPr>
        <w:tc>
          <w:tcPr>
            <w:tcW w:w="510" w:type="dxa"/>
            <w:gridSpan w:val="2"/>
          </w:tcPr>
          <w:p w:rsidR="00E65B32" w:rsidRPr="0053635E" w:rsidRDefault="00E65B32" w:rsidP="00602F5D">
            <w:pPr>
              <w:widowControl/>
              <w:tabs>
                <w:tab w:val="decimal" w:pos="105"/>
              </w:tabs>
              <w:overflowPunct w:val="0"/>
              <w:jc w:val="center"/>
              <w:textAlignment w:val="baseline"/>
              <w:rPr>
                <w:sz w:val="14"/>
                <w:szCs w:val="14"/>
                <w:highlight w:val="yellow"/>
              </w:rPr>
            </w:pPr>
          </w:p>
        </w:tc>
        <w:tc>
          <w:tcPr>
            <w:tcW w:w="1092" w:type="dxa"/>
          </w:tcPr>
          <w:p w:rsidR="00E65B32" w:rsidRPr="0053635E" w:rsidRDefault="00E65B32" w:rsidP="005361FF">
            <w:pPr>
              <w:widowControl/>
              <w:tabs>
                <w:tab w:val="decimal" w:pos="754"/>
              </w:tabs>
              <w:overflowPunct w:val="0"/>
              <w:ind w:left="-131"/>
              <w:textAlignment w:val="baseline"/>
              <w:rPr>
                <w:sz w:val="14"/>
                <w:szCs w:val="14"/>
                <w:highlight w:val="yellow"/>
              </w:rPr>
            </w:pPr>
          </w:p>
        </w:tc>
        <w:tc>
          <w:tcPr>
            <w:tcW w:w="977" w:type="dxa"/>
          </w:tcPr>
          <w:p w:rsidR="00E65B32" w:rsidRPr="0053635E" w:rsidRDefault="00E65B32" w:rsidP="00F6531C">
            <w:pPr>
              <w:widowControl/>
              <w:overflowPunct w:val="0"/>
              <w:ind w:left="-108" w:right="104"/>
              <w:jc w:val="right"/>
              <w:textAlignment w:val="baseline"/>
              <w:rPr>
                <w:sz w:val="14"/>
                <w:szCs w:val="14"/>
                <w:highlight w:val="yellow"/>
              </w:rPr>
            </w:pPr>
          </w:p>
        </w:tc>
        <w:tc>
          <w:tcPr>
            <w:tcW w:w="834" w:type="dxa"/>
            <w:gridSpan w:val="2"/>
          </w:tcPr>
          <w:p w:rsidR="00E65B32" w:rsidRPr="0053635E" w:rsidRDefault="00E65B32" w:rsidP="00602F5D">
            <w:pPr>
              <w:widowControl/>
              <w:overflowPunct w:val="0"/>
              <w:jc w:val="right"/>
              <w:textAlignment w:val="baseline"/>
              <w:rPr>
                <w:sz w:val="14"/>
                <w:szCs w:val="14"/>
                <w:highlight w:val="yellow"/>
              </w:rPr>
            </w:pPr>
          </w:p>
        </w:tc>
        <w:tc>
          <w:tcPr>
            <w:tcW w:w="854" w:type="dxa"/>
            <w:gridSpan w:val="3"/>
          </w:tcPr>
          <w:p w:rsidR="00E65B32" w:rsidRPr="0053635E" w:rsidRDefault="00E65B32" w:rsidP="00602F5D">
            <w:pPr>
              <w:widowControl/>
              <w:tabs>
                <w:tab w:val="decimal" w:pos="172"/>
              </w:tabs>
              <w:overflowPunct w:val="0"/>
              <w:jc w:val="center"/>
              <w:textAlignment w:val="baseline"/>
              <w:rPr>
                <w:sz w:val="14"/>
                <w:szCs w:val="14"/>
                <w:highlight w:val="yellow"/>
              </w:rPr>
            </w:pPr>
          </w:p>
        </w:tc>
        <w:tc>
          <w:tcPr>
            <w:tcW w:w="738" w:type="dxa"/>
          </w:tcPr>
          <w:p w:rsidR="00E65B32" w:rsidRPr="0053635E" w:rsidRDefault="00E65B32" w:rsidP="00602F5D">
            <w:pPr>
              <w:widowControl/>
              <w:tabs>
                <w:tab w:val="decimal" w:pos="172"/>
              </w:tabs>
              <w:overflowPunct w:val="0"/>
              <w:jc w:val="center"/>
              <w:textAlignment w:val="baseline"/>
              <w:rPr>
                <w:sz w:val="14"/>
                <w:szCs w:val="14"/>
                <w:highlight w:val="yellow"/>
              </w:rPr>
            </w:pPr>
          </w:p>
        </w:tc>
        <w:tc>
          <w:tcPr>
            <w:tcW w:w="815" w:type="dxa"/>
            <w:gridSpan w:val="2"/>
          </w:tcPr>
          <w:p w:rsidR="00E65B32" w:rsidRPr="0053635E" w:rsidRDefault="00E65B32" w:rsidP="00602F5D">
            <w:pPr>
              <w:widowControl/>
              <w:tabs>
                <w:tab w:val="decimal" w:pos="563"/>
              </w:tabs>
              <w:overflowPunct w:val="0"/>
              <w:textAlignment w:val="baseline"/>
              <w:rPr>
                <w:sz w:val="14"/>
                <w:szCs w:val="14"/>
                <w:highlight w:val="yellow"/>
              </w:rPr>
            </w:pPr>
          </w:p>
        </w:tc>
        <w:tc>
          <w:tcPr>
            <w:tcW w:w="728" w:type="dxa"/>
            <w:gridSpan w:val="2"/>
          </w:tcPr>
          <w:p w:rsidR="00E65B32" w:rsidRPr="0053635E" w:rsidRDefault="00E65B32" w:rsidP="00602F5D">
            <w:pPr>
              <w:widowControl/>
              <w:tabs>
                <w:tab w:val="decimal" w:pos="563"/>
              </w:tabs>
              <w:overflowPunct w:val="0"/>
              <w:textAlignment w:val="baseline"/>
              <w:rPr>
                <w:sz w:val="14"/>
                <w:szCs w:val="14"/>
                <w:highlight w:val="yellow"/>
              </w:rPr>
            </w:pPr>
          </w:p>
        </w:tc>
        <w:tc>
          <w:tcPr>
            <w:tcW w:w="675" w:type="dxa"/>
            <w:gridSpan w:val="2"/>
          </w:tcPr>
          <w:p w:rsidR="00E65B32" w:rsidRPr="0053635E" w:rsidRDefault="00E65B32" w:rsidP="00602F5D">
            <w:pPr>
              <w:widowControl/>
              <w:tabs>
                <w:tab w:val="decimal" w:pos="712"/>
              </w:tabs>
              <w:overflowPunct w:val="0"/>
              <w:textAlignment w:val="baseline"/>
              <w:rPr>
                <w:sz w:val="14"/>
                <w:szCs w:val="14"/>
                <w:highlight w:val="yellow"/>
              </w:rPr>
            </w:pPr>
          </w:p>
        </w:tc>
        <w:tc>
          <w:tcPr>
            <w:tcW w:w="581" w:type="dxa"/>
            <w:gridSpan w:val="2"/>
          </w:tcPr>
          <w:p w:rsidR="00E65B32" w:rsidRPr="0053635E" w:rsidRDefault="00E65B32" w:rsidP="00602F5D">
            <w:pPr>
              <w:widowControl/>
              <w:tabs>
                <w:tab w:val="decimal" w:pos="712"/>
              </w:tabs>
              <w:overflowPunct w:val="0"/>
              <w:textAlignment w:val="baseline"/>
              <w:rPr>
                <w:sz w:val="14"/>
                <w:szCs w:val="14"/>
                <w:highlight w:val="yellow"/>
              </w:rPr>
            </w:pPr>
          </w:p>
        </w:tc>
        <w:tc>
          <w:tcPr>
            <w:tcW w:w="77" w:type="dxa"/>
            <w:gridSpan w:val="3"/>
          </w:tcPr>
          <w:p w:rsidR="00E65B32" w:rsidRPr="0053635E" w:rsidRDefault="00E65B32" w:rsidP="00602F5D">
            <w:pPr>
              <w:widowControl/>
              <w:tabs>
                <w:tab w:val="decimal" w:pos="806"/>
              </w:tabs>
              <w:overflowPunct w:val="0"/>
              <w:textAlignment w:val="baseline"/>
              <w:rPr>
                <w:sz w:val="14"/>
                <w:szCs w:val="14"/>
                <w:highlight w:val="yellow"/>
              </w:rPr>
            </w:pPr>
          </w:p>
        </w:tc>
        <w:tc>
          <w:tcPr>
            <w:tcW w:w="57" w:type="dxa"/>
            <w:gridSpan w:val="3"/>
          </w:tcPr>
          <w:p w:rsidR="00E65B32" w:rsidRPr="0053635E" w:rsidRDefault="00E65B32" w:rsidP="00602F5D">
            <w:pPr>
              <w:widowControl/>
              <w:tabs>
                <w:tab w:val="decimal" w:pos="806"/>
              </w:tabs>
              <w:overflowPunct w:val="0"/>
              <w:textAlignment w:val="baseline"/>
              <w:rPr>
                <w:sz w:val="14"/>
                <w:szCs w:val="14"/>
                <w:highlight w:val="yellow"/>
              </w:rPr>
            </w:pPr>
          </w:p>
        </w:tc>
        <w:tc>
          <w:tcPr>
            <w:tcW w:w="936" w:type="dxa"/>
            <w:gridSpan w:val="3"/>
          </w:tcPr>
          <w:p w:rsidR="00E65B32" w:rsidRPr="0053635E" w:rsidRDefault="00E65B32" w:rsidP="00602F5D">
            <w:pPr>
              <w:widowControl/>
              <w:tabs>
                <w:tab w:val="decimal" w:pos="735"/>
              </w:tabs>
              <w:overflowPunct w:val="0"/>
              <w:textAlignment w:val="baseline"/>
              <w:rPr>
                <w:sz w:val="14"/>
                <w:szCs w:val="14"/>
                <w:highlight w:val="yellow"/>
              </w:rPr>
            </w:pPr>
          </w:p>
        </w:tc>
      </w:tr>
    </w:tbl>
    <w:p w:rsidR="004D5182" w:rsidRPr="00E61C8B" w:rsidRDefault="004D5182" w:rsidP="004D5182">
      <w:pPr>
        <w:rPr>
          <w:sz w:val="16"/>
          <w:szCs w:val="16"/>
        </w:rPr>
      </w:pPr>
      <w:r w:rsidRPr="00E61C8B">
        <w:rPr>
          <w:sz w:val="16"/>
          <w:szCs w:val="16"/>
        </w:rPr>
        <w:t xml:space="preserve"> (a)</w:t>
      </w:r>
      <w:r w:rsidRPr="00E61C8B">
        <w:rPr>
          <w:sz w:val="16"/>
          <w:szCs w:val="16"/>
        </w:rPr>
        <w:tab/>
        <w:t>This hedged item is referred to as Chassis Funding II Floating Rate Asset</w:t>
      </w:r>
      <w:r w:rsidRPr="00E61C8B">
        <w:rPr>
          <w:sz w:val="16"/>
          <w:szCs w:val="16"/>
        </w:rPr>
        <w:noBreakHyphen/>
        <w:t>Backed Notes, Series 2007-1</w:t>
      </w:r>
    </w:p>
    <w:p w:rsidR="004D5182" w:rsidRPr="00E61C8B" w:rsidRDefault="004325A9" w:rsidP="004D5182">
      <w:pPr>
        <w:rPr>
          <w:sz w:val="16"/>
          <w:szCs w:val="16"/>
        </w:rPr>
      </w:pPr>
      <w:r w:rsidRPr="00E61C8B">
        <w:rPr>
          <w:sz w:val="16"/>
          <w:szCs w:val="16"/>
        </w:rPr>
        <w:t xml:space="preserve"> </w:t>
      </w:r>
      <w:r w:rsidR="004D5182" w:rsidRPr="00E61C8B">
        <w:rPr>
          <w:sz w:val="16"/>
          <w:szCs w:val="16"/>
        </w:rPr>
        <w:t>(b)</w:t>
      </w:r>
      <w:r w:rsidR="004D5182" w:rsidRPr="00E61C8B">
        <w:rPr>
          <w:sz w:val="16"/>
          <w:szCs w:val="16"/>
        </w:rPr>
        <w:tab/>
        <w:t>This hedged item is referred to as Chassis Funding Floating Rate Asset</w:t>
      </w:r>
      <w:r w:rsidR="004D5182" w:rsidRPr="00E61C8B">
        <w:rPr>
          <w:sz w:val="16"/>
          <w:szCs w:val="16"/>
        </w:rPr>
        <w:noBreakHyphen/>
        <w:t>Backed Notes, Series 2007-1</w:t>
      </w:r>
    </w:p>
    <w:p w:rsidR="004D5182" w:rsidRPr="00E61C8B" w:rsidRDefault="004325A9" w:rsidP="004D5182">
      <w:pPr>
        <w:rPr>
          <w:sz w:val="16"/>
          <w:szCs w:val="16"/>
        </w:rPr>
      </w:pPr>
      <w:r w:rsidRPr="00E61C8B">
        <w:rPr>
          <w:sz w:val="16"/>
          <w:szCs w:val="16"/>
        </w:rPr>
        <w:t xml:space="preserve"> </w:t>
      </w:r>
      <w:r w:rsidR="004D5182" w:rsidRPr="00E61C8B">
        <w:rPr>
          <w:sz w:val="16"/>
          <w:szCs w:val="16"/>
        </w:rPr>
        <w:t>(c)</w:t>
      </w:r>
      <w:r w:rsidR="004D5182" w:rsidRPr="00E61C8B">
        <w:rPr>
          <w:sz w:val="16"/>
          <w:szCs w:val="16"/>
        </w:rPr>
        <w:tab/>
        <w:t>This hedged item is referred to as Chassis Financing Program, Term Loan Agreement—Portfolio C</w:t>
      </w:r>
    </w:p>
    <w:p w:rsidR="004D5182" w:rsidRPr="00E61C8B" w:rsidRDefault="004325A9" w:rsidP="004D5182">
      <w:pPr>
        <w:rPr>
          <w:sz w:val="16"/>
          <w:szCs w:val="16"/>
        </w:rPr>
      </w:pPr>
      <w:r w:rsidRPr="00E61C8B">
        <w:rPr>
          <w:sz w:val="16"/>
          <w:szCs w:val="16"/>
        </w:rPr>
        <w:t xml:space="preserve"> </w:t>
      </w:r>
      <w:r w:rsidR="004D5182" w:rsidRPr="00E61C8B">
        <w:rPr>
          <w:sz w:val="16"/>
          <w:szCs w:val="16"/>
        </w:rPr>
        <w:t>(d)</w:t>
      </w:r>
      <w:r w:rsidR="004D5182" w:rsidRPr="00E61C8B">
        <w:rPr>
          <w:sz w:val="16"/>
          <w:szCs w:val="16"/>
        </w:rPr>
        <w:tab/>
        <w:t>This hedged item is referred to as Chassis Financing Program, Portfolio A</w:t>
      </w:r>
    </w:p>
    <w:p w:rsidR="004325A9" w:rsidRPr="00E61C8B" w:rsidRDefault="004325A9" w:rsidP="00602F5D">
      <w:pPr>
        <w:widowControl/>
        <w:overflowPunct w:val="0"/>
        <w:spacing w:after="280"/>
        <w:jc w:val="both"/>
        <w:textAlignment w:val="baseline"/>
        <w:rPr>
          <w:sz w:val="24"/>
          <w:szCs w:val="20"/>
        </w:rPr>
      </w:pPr>
    </w:p>
    <w:p w:rsidR="00602F5D" w:rsidRPr="00F26CBA" w:rsidRDefault="00602F5D" w:rsidP="007A4196">
      <w:pPr>
        <w:widowControl/>
        <w:overflowPunct w:val="0"/>
        <w:spacing w:after="280"/>
        <w:ind w:firstLine="720"/>
        <w:jc w:val="both"/>
        <w:textAlignment w:val="baseline"/>
        <w:rPr>
          <w:sz w:val="22"/>
        </w:rPr>
      </w:pPr>
      <w:r w:rsidRPr="00323288">
        <w:rPr>
          <w:sz w:val="22"/>
        </w:rPr>
        <w:t xml:space="preserve">The amount of loss expected to be reclassified from </w:t>
      </w:r>
      <w:r w:rsidR="00323288">
        <w:rPr>
          <w:sz w:val="22"/>
        </w:rPr>
        <w:t>A</w:t>
      </w:r>
      <w:r w:rsidRPr="00323288">
        <w:rPr>
          <w:sz w:val="22"/>
        </w:rPr>
        <w:t xml:space="preserve">OCI into interest expense over the next 12 months consists of net interest settlements on active interest rate derivatives in the </w:t>
      </w:r>
      <w:r w:rsidRPr="00F26CBA">
        <w:rPr>
          <w:sz w:val="22"/>
        </w:rPr>
        <w:t>amount of $</w:t>
      </w:r>
      <w:r w:rsidR="00F26CBA" w:rsidRPr="00F26CBA">
        <w:rPr>
          <w:sz w:val="22"/>
        </w:rPr>
        <w:t>1,039</w:t>
      </w:r>
      <w:r w:rsidRPr="00F26CBA">
        <w:rPr>
          <w:sz w:val="22"/>
        </w:rPr>
        <w:t xml:space="preserve"> (which is net of tax of $</w:t>
      </w:r>
      <w:r w:rsidR="00DC24A4" w:rsidRPr="00F26CBA">
        <w:rPr>
          <w:sz w:val="22"/>
        </w:rPr>
        <w:t>6</w:t>
      </w:r>
      <w:r w:rsidR="00F26CBA" w:rsidRPr="00F26CBA">
        <w:rPr>
          <w:sz w:val="22"/>
        </w:rPr>
        <w:t>76</w:t>
      </w:r>
      <w:r w:rsidR="00C84B91" w:rsidRPr="00F26CBA">
        <w:rPr>
          <w:sz w:val="22"/>
        </w:rPr>
        <w:t>)</w:t>
      </w:r>
      <w:r w:rsidRPr="00323288">
        <w:rPr>
          <w:sz w:val="22"/>
        </w:rPr>
        <w:t xml:space="preserve"> and amortization of deferred losses on the Company’s terminated </w:t>
      </w:r>
      <w:r w:rsidRPr="00F26CBA">
        <w:rPr>
          <w:sz w:val="22"/>
        </w:rPr>
        <w:t>derivatives of $</w:t>
      </w:r>
      <w:r w:rsidR="00C84B91" w:rsidRPr="00F26CBA">
        <w:rPr>
          <w:sz w:val="22"/>
        </w:rPr>
        <w:t>1</w:t>
      </w:r>
      <w:r w:rsidR="00F26CBA" w:rsidRPr="00F26CBA">
        <w:rPr>
          <w:sz w:val="22"/>
        </w:rPr>
        <w:t>1</w:t>
      </w:r>
      <w:r w:rsidR="00C84B91" w:rsidRPr="00F26CBA">
        <w:rPr>
          <w:sz w:val="22"/>
        </w:rPr>
        <w:t>,</w:t>
      </w:r>
      <w:r w:rsidR="00F26CBA" w:rsidRPr="00F26CBA">
        <w:rPr>
          <w:sz w:val="22"/>
        </w:rPr>
        <w:t>577</w:t>
      </w:r>
      <w:r w:rsidRPr="00F26CBA">
        <w:rPr>
          <w:sz w:val="22"/>
        </w:rPr>
        <w:t xml:space="preserve"> (which is net of tax of $</w:t>
      </w:r>
      <w:r w:rsidR="00C84B91" w:rsidRPr="00F26CBA">
        <w:rPr>
          <w:sz w:val="22"/>
        </w:rPr>
        <w:t>7,</w:t>
      </w:r>
      <w:r w:rsidR="00F26CBA" w:rsidRPr="00F26CBA">
        <w:rPr>
          <w:sz w:val="22"/>
        </w:rPr>
        <w:t>523</w:t>
      </w:r>
      <w:r w:rsidRPr="00F26CBA">
        <w:rPr>
          <w:sz w:val="22"/>
        </w:rPr>
        <w:t>).</w:t>
      </w:r>
    </w:p>
    <w:p w:rsidR="00602F5D" w:rsidRPr="00F26CBA" w:rsidRDefault="00602F5D" w:rsidP="00510467">
      <w:pPr>
        <w:widowControl/>
        <w:tabs>
          <w:tab w:val="left" w:pos="-720"/>
        </w:tabs>
        <w:suppressAutoHyphens/>
        <w:spacing w:before="240" w:after="240"/>
        <w:jc w:val="both"/>
        <w:rPr>
          <w:sz w:val="22"/>
        </w:rPr>
      </w:pPr>
    </w:p>
    <w:p w:rsidR="003A623E" w:rsidRPr="0053635E" w:rsidRDefault="003A623E" w:rsidP="003A3677">
      <w:pPr>
        <w:widowControl/>
        <w:tabs>
          <w:tab w:val="left" w:pos="-720"/>
        </w:tabs>
        <w:suppressAutoHyphens/>
        <w:spacing w:after="240"/>
        <w:ind w:firstLine="720"/>
        <w:jc w:val="both"/>
        <w:rPr>
          <w:b/>
          <w:bCs/>
          <w:highlight w:val="yellow"/>
        </w:rPr>
      </w:pPr>
    </w:p>
    <w:p w:rsidR="00744A72" w:rsidRPr="00512489" w:rsidRDefault="00803F0A" w:rsidP="00EE2E7E">
      <w:pPr>
        <w:keepNext/>
        <w:keepLines/>
        <w:widowControl/>
        <w:tabs>
          <w:tab w:val="left" w:pos="-720"/>
          <w:tab w:val="left" w:pos="720"/>
          <w:tab w:val="left" w:pos="1440"/>
        </w:tabs>
        <w:suppressAutoHyphens/>
        <w:spacing w:after="240"/>
        <w:jc w:val="both"/>
        <w:rPr>
          <w:b/>
          <w:bCs/>
          <w:sz w:val="22"/>
        </w:rPr>
      </w:pPr>
      <w:r>
        <w:rPr>
          <w:b/>
          <w:bCs/>
          <w:sz w:val="22"/>
        </w:rPr>
        <w:lastRenderedPageBreak/>
        <w:t>7</w:t>
      </w:r>
      <w:r w:rsidR="00CA14BE" w:rsidRPr="00512489">
        <w:rPr>
          <w:b/>
          <w:bCs/>
          <w:sz w:val="22"/>
        </w:rPr>
        <w:t>. Commitments and Contingencies</w:t>
      </w:r>
    </w:p>
    <w:p w:rsidR="00CA14BE" w:rsidRPr="00512489" w:rsidRDefault="00CA14BE" w:rsidP="00EE2E7E">
      <w:pPr>
        <w:keepNext/>
        <w:keepLines/>
        <w:widowControl/>
        <w:tabs>
          <w:tab w:val="left" w:pos="-720"/>
          <w:tab w:val="left" w:pos="720"/>
          <w:tab w:val="left" w:pos="1440"/>
        </w:tabs>
        <w:suppressAutoHyphens/>
        <w:spacing w:after="240"/>
        <w:jc w:val="both"/>
        <w:rPr>
          <w:b/>
          <w:bCs/>
          <w:sz w:val="22"/>
        </w:rPr>
      </w:pPr>
      <w:r w:rsidRPr="00512489">
        <w:rPr>
          <w:b/>
          <w:bCs/>
          <w:sz w:val="22"/>
        </w:rPr>
        <w:t>Purchase Commitments</w:t>
      </w:r>
    </w:p>
    <w:p w:rsidR="00744A72" w:rsidRPr="00512489" w:rsidRDefault="00CA14BE" w:rsidP="00EE2E7E">
      <w:pPr>
        <w:widowControl/>
        <w:tabs>
          <w:tab w:val="left" w:pos="-720"/>
        </w:tabs>
        <w:suppressAutoHyphens/>
        <w:spacing w:after="240"/>
        <w:ind w:firstLine="720"/>
        <w:jc w:val="both"/>
        <w:rPr>
          <w:sz w:val="22"/>
        </w:rPr>
      </w:pPr>
      <w:r w:rsidRPr="00092B9E">
        <w:rPr>
          <w:sz w:val="22"/>
        </w:rPr>
        <w:t xml:space="preserve">At </w:t>
      </w:r>
      <w:r w:rsidR="00512489" w:rsidRPr="00092B9E">
        <w:rPr>
          <w:sz w:val="22"/>
        </w:rPr>
        <w:t>March</w:t>
      </w:r>
      <w:r w:rsidRPr="00092B9E">
        <w:rPr>
          <w:sz w:val="22"/>
        </w:rPr>
        <w:t> 3</w:t>
      </w:r>
      <w:r w:rsidR="00512489" w:rsidRPr="00092B9E">
        <w:rPr>
          <w:sz w:val="22"/>
        </w:rPr>
        <w:t>1</w:t>
      </w:r>
      <w:r w:rsidRPr="00092B9E">
        <w:rPr>
          <w:sz w:val="22"/>
        </w:rPr>
        <w:t>, 201</w:t>
      </w:r>
      <w:r w:rsidR="00512489" w:rsidRPr="00092B9E">
        <w:rPr>
          <w:sz w:val="22"/>
        </w:rPr>
        <w:t>4</w:t>
      </w:r>
      <w:r w:rsidRPr="00092B9E">
        <w:rPr>
          <w:sz w:val="22"/>
        </w:rPr>
        <w:t>, commitments for capital expenditures for leasing equipment totaled approximately $</w:t>
      </w:r>
      <w:r w:rsidR="007A36DB" w:rsidRPr="00092B9E">
        <w:rPr>
          <w:sz w:val="22"/>
        </w:rPr>
        <w:t>3,</w:t>
      </w:r>
      <w:r w:rsidR="00092B9E" w:rsidRPr="00092B9E">
        <w:rPr>
          <w:sz w:val="22"/>
        </w:rPr>
        <w:t>9</w:t>
      </w:r>
      <w:r w:rsidR="00A11A90">
        <w:rPr>
          <w:sz w:val="22"/>
        </w:rPr>
        <w:t>79</w:t>
      </w:r>
      <w:r w:rsidRPr="00092B9E">
        <w:rPr>
          <w:sz w:val="22"/>
        </w:rPr>
        <w:t>, all of which was</w:t>
      </w:r>
      <w:r w:rsidRPr="00512489">
        <w:rPr>
          <w:sz w:val="22"/>
        </w:rPr>
        <w:t xml:space="preserve"> committed for 201</w:t>
      </w:r>
      <w:r w:rsidR="00512489">
        <w:rPr>
          <w:sz w:val="22"/>
        </w:rPr>
        <w:t>4</w:t>
      </w:r>
      <w:r w:rsidRPr="00512489">
        <w:rPr>
          <w:sz w:val="22"/>
        </w:rPr>
        <w:t>.</w:t>
      </w:r>
    </w:p>
    <w:p w:rsidR="00EF1FB2" w:rsidRPr="00512489" w:rsidRDefault="00EF1FB2" w:rsidP="00EF1FB2">
      <w:pPr>
        <w:pStyle w:val="N-Heading"/>
        <w:rPr>
          <w:sz w:val="22"/>
          <w:szCs w:val="22"/>
        </w:rPr>
      </w:pPr>
      <w:r w:rsidRPr="00512489">
        <w:rPr>
          <w:sz w:val="22"/>
          <w:szCs w:val="22"/>
        </w:rPr>
        <w:t>Lease Commitments</w:t>
      </w:r>
    </w:p>
    <w:p w:rsidR="00C17690" w:rsidRPr="00512489" w:rsidRDefault="00EF1FB2" w:rsidP="00691765">
      <w:pPr>
        <w:pStyle w:val="Body"/>
        <w:ind w:firstLine="720"/>
        <w:rPr>
          <w:sz w:val="22"/>
          <w:szCs w:val="22"/>
        </w:rPr>
      </w:pPr>
      <w:r w:rsidRPr="00512489">
        <w:rPr>
          <w:sz w:val="22"/>
          <w:szCs w:val="22"/>
        </w:rPr>
        <w:t xml:space="preserve">The Company is party to various operating leases relating to office facilities and certain other equipment with various expiration dates </w:t>
      </w:r>
      <w:r w:rsidRPr="00E74ED9">
        <w:rPr>
          <w:sz w:val="22"/>
          <w:szCs w:val="22"/>
        </w:rPr>
        <w:t>through 201</w:t>
      </w:r>
      <w:r w:rsidR="00574D83" w:rsidRPr="00E74ED9">
        <w:rPr>
          <w:sz w:val="22"/>
          <w:szCs w:val="22"/>
        </w:rPr>
        <w:t>9</w:t>
      </w:r>
      <w:r w:rsidRPr="00E74ED9">
        <w:rPr>
          <w:sz w:val="22"/>
          <w:szCs w:val="22"/>
        </w:rPr>
        <w:t>. All leasing arrangements</w:t>
      </w:r>
      <w:r w:rsidRPr="00512489">
        <w:rPr>
          <w:sz w:val="22"/>
          <w:szCs w:val="22"/>
        </w:rPr>
        <w:t xml:space="preserve"> contain normal leasing terms without unusual purchase options or escalation clauses.  As of </w:t>
      </w:r>
      <w:r w:rsidR="00512489">
        <w:rPr>
          <w:sz w:val="22"/>
          <w:szCs w:val="22"/>
        </w:rPr>
        <w:t>March</w:t>
      </w:r>
      <w:r w:rsidRPr="00512489">
        <w:rPr>
          <w:sz w:val="22"/>
          <w:szCs w:val="22"/>
        </w:rPr>
        <w:t xml:space="preserve"> 3</w:t>
      </w:r>
      <w:r w:rsidR="00512489">
        <w:rPr>
          <w:sz w:val="22"/>
          <w:szCs w:val="22"/>
        </w:rPr>
        <w:t>1</w:t>
      </w:r>
      <w:r w:rsidRPr="00512489">
        <w:rPr>
          <w:sz w:val="22"/>
          <w:szCs w:val="22"/>
        </w:rPr>
        <w:t>, 201</w:t>
      </w:r>
      <w:r w:rsidR="00512489">
        <w:rPr>
          <w:sz w:val="22"/>
          <w:szCs w:val="22"/>
        </w:rPr>
        <w:t>4</w:t>
      </w:r>
      <w:r w:rsidRPr="00512489">
        <w:rPr>
          <w:sz w:val="22"/>
          <w:szCs w:val="22"/>
        </w:rPr>
        <w:t xml:space="preserve">, the aggregate minimum rental commitment under operating leases having initial or remaining non-cancelable lease terms in excess of one year </w:t>
      </w:r>
      <w:r w:rsidRPr="00E74ED9">
        <w:rPr>
          <w:sz w:val="22"/>
          <w:szCs w:val="22"/>
        </w:rPr>
        <w:t>was $</w:t>
      </w:r>
      <w:r w:rsidR="00E74ED9" w:rsidRPr="00E74ED9">
        <w:rPr>
          <w:sz w:val="22"/>
          <w:szCs w:val="22"/>
        </w:rPr>
        <w:t>8</w:t>
      </w:r>
      <w:r w:rsidR="00C5607E" w:rsidRPr="00E74ED9">
        <w:rPr>
          <w:sz w:val="22"/>
          <w:szCs w:val="22"/>
        </w:rPr>
        <w:t>,</w:t>
      </w:r>
      <w:r w:rsidR="00E74ED9" w:rsidRPr="00E74ED9">
        <w:rPr>
          <w:sz w:val="22"/>
          <w:szCs w:val="22"/>
        </w:rPr>
        <w:t>917</w:t>
      </w:r>
      <w:r w:rsidRPr="00E74ED9">
        <w:rPr>
          <w:sz w:val="22"/>
          <w:szCs w:val="22"/>
        </w:rPr>
        <w:t>.</w:t>
      </w:r>
    </w:p>
    <w:p w:rsidR="00EF1FB2" w:rsidRPr="00D41AB7" w:rsidRDefault="00803F0A" w:rsidP="00EF1FB2">
      <w:pPr>
        <w:pStyle w:val="N-Heading"/>
        <w:rPr>
          <w:sz w:val="22"/>
          <w:szCs w:val="22"/>
        </w:rPr>
      </w:pPr>
      <w:r>
        <w:rPr>
          <w:sz w:val="22"/>
          <w:szCs w:val="22"/>
        </w:rPr>
        <w:t>8</w:t>
      </w:r>
      <w:r w:rsidR="00EF1FB2" w:rsidRPr="00D41AB7">
        <w:rPr>
          <w:sz w:val="22"/>
          <w:szCs w:val="22"/>
        </w:rPr>
        <w:t>.</w:t>
      </w:r>
      <w:r w:rsidR="00EF1FB2" w:rsidRPr="00D41AB7">
        <w:rPr>
          <w:rFonts w:ascii="Arial Unicode MS" w:eastAsia="Arial Unicode MS" w:hAnsi="Arial Unicode MS" w:cs="Arial Unicode MS"/>
          <w:sz w:val="22"/>
          <w:szCs w:val="22"/>
        </w:rPr>
        <w:t xml:space="preserve">  </w:t>
      </w:r>
      <w:r w:rsidR="00EF1FB2" w:rsidRPr="00D41AB7">
        <w:rPr>
          <w:sz w:val="22"/>
          <w:szCs w:val="22"/>
        </w:rPr>
        <w:t>Income Taxes</w:t>
      </w:r>
    </w:p>
    <w:p w:rsidR="00C17690" w:rsidRDefault="00DD4EC7" w:rsidP="00C17690">
      <w:pPr>
        <w:pStyle w:val="Body"/>
        <w:ind w:firstLine="720"/>
        <w:rPr>
          <w:sz w:val="22"/>
          <w:szCs w:val="22"/>
        </w:rPr>
      </w:pPr>
      <w:r>
        <w:rPr>
          <w:sz w:val="22"/>
          <w:szCs w:val="22"/>
        </w:rPr>
        <w:t>The consolidated income tax provision (benefit) for the three months ended March, 31, 2014 and 2013 was determined based upon estimates of the Company’s consolidated effective income tax rates for the years ended December 31, 2014 and 2013, respectively.</w:t>
      </w:r>
      <w:r w:rsidR="00EF1FB2" w:rsidRPr="002026D8">
        <w:rPr>
          <w:sz w:val="22"/>
          <w:szCs w:val="22"/>
        </w:rPr>
        <w:t xml:space="preserve">  For the </w:t>
      </w:r>
      <w:r w:rsidR="00A15C51" w:rsidRPr="002026D8">
        <w:rPr>
          <w:sz w:val="22"/>
          <w:szCs w:val="22"/>
        </w:rPr>
        <w:t>three</w:t>
      </w:r>
      <w:r w:rsidR="00EF1FB2" w:rsidRPr="002026D8">
        <w:rPr>
          <w:sz w:val="22"/>
          <w:szCs w:val="22"/>
        </w:rPr>
        <w:t xml:space="preserve"> months ended </w:t>
      </w:r>
      <w:r w:rsidR="002026D8">
        <w:rPr>
          <w:sz w:val="22"/>
          <w:szCs w:val="22"/>
        </w:rPr>
        <w:t>March</w:t>
      </w:r>
      <w:r w:rsidR="00EF1FB2" w:rsidRPr="002026D8">
        <w:rPr>
          <w:sz w:val="22"/>
          <w:szCs w:val="22"/>
        </w:rPr>
        <w:t xml:space="preserve"> 3</w:t>
      </w:r>
      <w:r w:rsidR="002026D8">
        <w:rPr>
          <w:sz w:val="22"/>
          <w:szCs w:val="22"/>
        </w:rPr>
        <w:t>1</w:t>
      </w:r>
      <w:r w:rsidR="0081007A" w:rsidRPr="002026D8">
        <w:rPr>
          <w:sz w:val="22"/>
          <w:szCs w:val="22"/>
        </w:rPr>
        <w:t>,</w:t>
      </w:r>
      <w:r w:rsidR="00EF1FB2" w:rsidRPr="002026D8">
        <w:rPr>
          <w:sz w:val="22"/>
          <w:szCs w:val="22"/>
        </w:rPr>
        <w:t xml:space="preserve"> 201</w:t>
      </w:r>
      <w:r w:rsidR="002026D8">
        <w:rPr>
          <w:sz w:val="22"/>
          <w:szCs w:val="22"/>
        </w:rPr>
        <w:t>4</w:t>
      </w:r>
      <w:r w:rsidR="00926E63" w:rsidRPr="002026D8">
        <w:rPr>
          <w:sz w:val="22"/>
          <w:szCs w:val="22"/>
        </w:rPr>
        <w:t>,</w:t>
      </w:r>
      <w:r w:rsidR="00EF1FB2" w:rsidRPr="002026D8">
        <w:rPr>
          <w:sz w:val="22"/>
          <w:szCs w:val="22"/>
        </w:rPr>
        <w:t xml:space="preserve"> the Company recorded</w:t>
      </w:r>
      <w:r w:rsidR="00926E63" w:rsidRPr="002026D8">
        <w:rPr>
          <w:sz w:val="22"/>
          <w:szCs w:val="22"/>
        </w:rPr>
        <w:t xml:space="preserve"> a</w:t>
      </w:r>
      <w:r w:rsidR="00EF1FB2" w:rsidRPr="002026D8">
        <w:rPr>
          <w:sz w:val="22"/>
          <w:szCs w:val="22"/>
        </w:rPr>
        <w:t xml:space="preserve"> tax </w:t>
      </w:r>
      <w:r w:rsidR="002026D8" w:rsidRPr="00B07FC6">
        <w:rPr>
          <w:sz w:val="22"/>
          <w:szCs w:val="22"/>
        </w:rPr>
        <w:t>provision</w:t>
      </w:r>
      <w:r w:rsidR="00EF1FB2" w:rsidRPr="00B07FC6">
        <w:rPr>
          <w:sz w:val="22"/>
          <w:szCs w:val="22"/>
        </w:rPr>
        <w:t xml:space="preserve"> of $</w:t>
      </w:r>
      <w:r w:rsidR="00B07FC6" w:rsidRPr="00B07FC6">
        <w:rPr>
          <w:sz w:val="22"/>
          <w:szCs w:val="22"/>
        </w:rPr>
        <w:t>3</w:t>
      </w:r>
      <w:r w:rsidR="00852DC4" w:rsidRPr="00B07FC6">
        <w:rPr>
          <w:sz w:val="22"/>
          <w:szCs w:val="22"/>
        </w:rPr>
        <w:t>,</w:t>
      </w:r>
      <w:r w:rsidR="00B07FC6" w:rsidRPr="00B07FC6">
        <w:rPr>
          <w:sz w:val="22"/>
          <w:szCs w:val="22"/>
        </w:rPr>
        <w:t>856</w:t>
      </w:r>
      <w:r w:rsidR="0081007A" w:rsidRPr="00B07FC6">
        <w:rPr>
          <w:sz w:val="22"/>
          <w:szCs w:val="22"/>
        </w:rPr>
        <w:t>,</w:t>
      </w:r>
      <w:r w:rsidR="00EF1FB2" w:rsidRPr="00B07FC6">
        <w:rPr>
          <w:sz w:val="22"/>
          <w:szCs w:val="22"/>
        </w:rPr>
        <w:t xml:space="preserve"> </w:t>
      </w:r>
      <w:r w:rsidR="00815D33" w:rsidRPr="00B07FC6">
        <w:rPr>
          <w:sz w:val="22"/>
          <w:szCs w:val="22"/>
        </w:rPr>
        <w:t xml:space="preserve">reflecting </w:t>
      </w:r>
      <w:r w:rsidR="00EF1FB2" w:rsidRPr="00B07FC6">
        <w:rPr>
          <w:sz w:val="22"/>
          <w:szCs w:val="22"/>
        </w:rPr>
        <w:t xml:space="preserve">a </w:t>
      </w:r>
      <w:r w:rsidR="00B07FC6" w:rsidRPr="00B07FC6">
        <w:rPr>
          <w:sz w:val="22"/>
          <w:szCs w:val="22"/>
        </w:rPr>
        <w:t>41.3</w:t>
      </w:r>
      <w:r w:rsidR="00EF1FB2" w:rsidRPr="00B07FC6">
        <w:rPr>
          <w:sz w:val="22"/>
          <w:szCs w:val="22"/>
        </w:rPr>
        <w:t>%</w:t>
      </w:r>
      <w:r w:rsidR="0058445A" w:rsidRPr="00B07FC6">
        <w:rPr>
          <w:sz w:val="22"/>
          <w:szCs w:val="22"/>
        </w:rPr>
        <w:t xml:space="preserve"> </w:t>
      </w:r>
      <w:r w:rsidR="00EF1FB2" w:rsidRPr="00B07FC6">
        <w:rPr>
          <w:sz w:val="22"/>
          <w:szCs w:val="22"/>
        </w:rPr>
        <w:t>effective tax</w:t>
      </w:r>
      <w:r w:rsidR="00EF1FB2" w:rsidRPr="002026D8">
        <w:rPr>
          <w:sz w:val="22"/>
          <w:szCs w:val="22"/>
        </w:rPr>
        <w:t xml:space="preserve"> rate</w:t>
      </w:r>
      <w:r w:rsidR="0058445A" w:rsidRPr="002026D8">
        <w:rPr>
          <w:sz w:val="22"/>
          <w:szCs w:val="22"/>
        </w:rPr>
        <w:t xml:space="preserve">. </w:t>
      </w:r>
      <w:r w:rsidR="00E36307">
        <w:rPr>
          <w:sz w:val="22"/>
          <w:szCs w:val="22"/>
        </w:rPr>
        <w:t xml:space="preserve"> </w:t>
      </w:r>
      <w:r w:rsidR="0058445A" w:rsidRPr="002026D8">
        <w:rPr>
          <w:sz w:val="22"/>
          <w:szCs w:val="22"/>
        </w:rPr>
        <w:t xml:space="preserve">This compares to a tax </w:t>
      </w:r>
      <w:r w:rsidR="0082124D" w:rsidRPr="002026D8">
        <w:rPr>
          <w:sz w:val="22"/>
          <w:szCs w:val="22"/>
        </w:rPr>
        <w:t>benefit</w:t>
      </w:r>
      <w:r w:rsidR="0058445A" w:rsidRPr="002026D8">
        <w:rPr>
          <w:sz w:val="22"/>
          <w:szCs w:val="22"/>
        </w:rPr>
        <w:t xml:space="preserve"> of $</w:t>
      </w:r>
      <w:r w:rsidR="002026D8">
        <w:rPr>
          <w:sz w:val="22"/>
          <w:szCs w:val="22"/>
        </w:rPr>
        <w:t>315</w:t>
      </w:r>
      <w:r w:rsidR="0058445A" w:rsidRPr="002026D8">
        <w:rPr>
          <w:sz w:val="22"/>
          <w:szCs w:val="22"/>
        </w:rPr>
        <w:t xml:space="preserve">, </w:t>
      </w:r>
      <w:r w:rsidR="00815D33" w:rsidRPr="002026D8">
        <w:rPr>
          <w:sz w:val="22"/>
          <w:szCs w:val="22"/>
        </w:rPr>
        <w:t xml:space="preserve">reflecting </w:t>
      </w:r>
      <w:r w:rsidR="0058445A" w:rsidRPr="002026D8">
        <w:rPr>
          <w:sz w:val="22"/>
          <w:szCs w:val="22"/>
        </w:rPr>
        <w:t>a 4</w:t>
      </w:r>
      <w:r w:rsidR="002026D8">
        <w:rPr>
          <w:sz w:val="22"/>
          <w:szCs w:val="22"/>
        </w:rPr>
        <w:t>2</w:t>
      </w:r>
      <w:r w:rsidR="0058445A" w:rsidRPr="002026D8">
        <w:rPr>
          <w:sz w:val="22"/>
          <w:szCs w:val="22"/>
        </w:rPr>
        <w:t>.</w:t>
      </w:r>
      <w:r w:rsidR="002026D8">
        <w:rPr>
          <w:sz w:val="22"/>
          <w:szCs w:val="22"/>
        </w:rPr>
        <w:t>0</w:t>
      </w:r>
      <w:r w:rsidR="0058445A" w:rsidRPr="002026D8">
        <w:rPr>
          <w:sz w:val="22"/>
          <w:szCs w:val="22"/>
        </w:rPr>
        <w:t xml:space="preserve">% effective tax rate for the three months ended </w:t>
      </w:r>
      <w:r w:rsidR="002026D8">
        <w:rPr>
          <w:sz w:val="22"/>
          <w:szCs w:val="22"/>
        </w:rPr>
        <w:t>March</w:t>
      </w:r>
      <w:r w:rsidR="0058445A" w:rsidRPr="002026D8">
        <w:rPr>
          <w:sz w:val="22"/>
          <w:szCs w:val="22"/>
        </w:rPr>
        <w:t xml:space="preserve"> 3</w:t>
      </w:r>
      <w:r w:rsidR="002026D8">
        <w:rPr>
          <w:sz w:val="22"/>
          <w:szCs w:val="22"/>
        </w:rPr>
        <w:t>1</w:t>
      </w:r>
      <w:r w:rsidR="0058445A" w:rsidRPr="002026D8">
        <w:rPr>
          <w:sz w:val="22"/>
          <w:szCs w:val="22"/>
        </w:rPr>
        <w:t xml:space="preserve">, </w:t>
      </w:r>
      <w:r w:rsidR="0058445A" w:rsidRPr="00B07FC6">
        <w:rPr>
          <w:sz w:val="22"/>
          <w:szCs w:val="22"/>
        </w:rPr>
        <w:t>201</w:t>
      </w:r>
      <w:r w:rsidR="002026D8" w:rsidRPr="00B07FC6">
        <w:rPr>
          <w:sz w:val="22"/>
          <w:szCs w:val="22"/>
        </w:rPr>
        <w:t>3</w:t>
      </w:r>
      <w:r w:rsidR="0058445A" w:rsidRPr="00B07FC6">
        <w:rPr>
          <w:sz w:val="22"/>
          <w:szCs w:val="22"/>
        </w:rPr>
        <w:t>.</w:t>
      </w:r>
      <w:r w:rsidR="00EE5B47" w:rsidRPr="00B07FC6">
        <w:rPr>
          <w:sz w:val="22"/>
          <w:szCs w:val="22"/>
        </w:rPr>
        <w:t xml:space="preserve"> </w:t>
      </w:r>
      <w:r w:rsidR="0058445A" w:rsidRPr="00B07FC6">
        <w:rPr>
          <w:sz w:val="22"/>
          <w:szCs w:val="22"/>
        </w:rPr>
        <w:t xml:space="preserve">  </w:t>
      </w:r>
      <w:r w:rsidRPr="00B07FC6">
        <w:rPr>
          <w:sz w:val="22"/>
          <w:szCs w:val="22"/>
        </w:rPr>
        <w:t>The Company’s effective tax rate differs from the U.S. federal tax rate of 35% primarily due to C</w:t>
      </w:r>
      <w:r w:rsidR="00EF1FB2" w:rsidRPr="00B07FC6">
        <w:rPr>
          <w:sz w:val="22"/>
          <w:szCs w:val="22"/>
        </w:rPr>
        <w:t>anadian and Mexican tax provisions</w:t>
      </w:r>
      <w:r w:rsidR="00C0752C" w:rsidRPr="00B07FC6">
        <w:rPr>
          <w:sz w:val="22"/>
          <w:szCs w:val="22"/>
        </w:rPr>
        <w:t>.</w:t>
      </w:r>
    </w:p>
    <w:p w:rsidR="00C17690" w:rsidRDefault="00C17690" w:rsidP="00C17690">
      <w:pPr>
        <w:pStyle w:val="Body"/>
        <w:ind w:firstLine="720"/>
        <w:rPr>
          <w:sz w:val="22"/>
          <w:szCs w:val="22"/>
        </w:rPr>
      </w:pPr>
    </w:p>
    <w:p w:rsidR="00C17690" w:rsidRDefault="00C17690" w:rsidP="00C17690">
      <w:pPr>
        <w:pStyle w:val="Body"/>
        <w:ind w:firstLine="720"/>
        <w:rPr>
          <w:sz w:val="22"/>
          <w:szCs w:val="22"/>
        </w:rPr>
      </w:pPr>
    </w:p>
    <w:p w:rsidR="00C17690" w:rsidRDefault="00C17690" w:rsidP="00C17690">
      <w:pPr>
        <w:pStyle w:val="Body"/>
        <w:ind w:firstLine="720"/>
        <w:rPr>
          <w:sz w:val="22"/>
          <w:szCs w:val="22"/>
        </w:rPr>
      </w:pPr>
    </w:p>
    <w:p w:rsidR="00C17690" w:rsidRDefault="00C17690" w:rsidP="00C17690">
      <w:pPr>
        <w:pStyle w:val="Body"/>
        <w:ind w:firstLine="720"/>
        <w:rPr>
          <w:sz w:val="22"/>
          <w:szCs w:val="22"/>
        </w:rPr>
      </w:pPr>
    </w:p>
    <w:p w:rsidR="00C17690" w:rsidRDefault="00C17690" w:rsidP="00C17690">
      <w:pPr>
        <w:pStyle w:val="Body"/>
        <w:ind w:firstLine="720"/>
        <w:rPr>
          <w:sz w:val="22"/>
          <w:szCs w:val="22"/>
        </w:rPr>
      </w:pPr>
    </w:p>
    <w:p w:rsidR="00C17690" w:rsidRDefault="00C17690" w:rsidP="00C17690">
      <w:pPr>
        <w:pStyle w:val="Body"/>
        <w:ind w:firstLine="720"/>
        <w:rPr>
          <w:sz w:val="22"/>
          <w:szCs w:val="22"/>
        </w:rPr>
      </w:pPr>
    </w:p>
    <w:p w:rsidR="00C17690" w:rsidRDefault="00C17690" w:rsidP="00C17690">
      <w:pPr>
        <w:pStyle w:val="Body"/>
        <w:ind w:firstLine="720"/>
        <w:rPr>
          <w:sz w:val="22"/>
          <w:szCs w:val="22"/>
        </w:rPr>
      </w:pPr>
    </w:p>
    <w:p w:rsidR="004970F0" w:rsidRPr="002026D8" w:rsidRDefault="004970F0" w:rsidP="00C17690">
      <w:pPr>
        <w:pStyle w:val="Body"/>
        <w:ind w:firstLine="720"/>
        <w:rPr>
          <w:sz w:val="22"/>
          <w:szCs w:val="22"/>
        </w:rPr>
      </w:pPr>
    </w:p>
    <w:p w:rsidR="008369B9" w:rsidRPr="00803F0A" w:rsidRDefault="00803F0A" w:rsidP="008369B9">
      <w:pPr>
        <w:keepNext/>
        <w:keepLines/>
        <w:widowControl/>
        <w:tabs>
          <w:tab w:val="left" w:pos="-720"/>
          <w:tab w:val="left" w:pos="720"/>
          <w:tab w:val="left" w:pos="1440"/>
        </w:tabs>
        <w:suppressAutoHyphens/>
        <w:spacing w:after="240"/>
        <w:jc w:val="both"/>
        <w:rPr>
          <w:b/>
          <w:bCs/>
          <w:sz w:val="22"/>
        </w:rPr>
      </w:pPr>
      <w:r>
        <w:rPr>
          <w:b/>
          <w:bCs/>
          <w:sz w:val="22"/>
        </w:rPr>
        <w:lastRenderedPageBreak/>
        <w:t>9</w:t>
      </w:r>
      <w:r w:rsidR="008369B9" w:rsidRPr="00803F0A">
        <w:rPr>
          <w:b/>
          <w:bCs/>
          <w:sz w:val="22"/>
        </w:rPr>
        <w:t>. Accumulated Other Comprehensive Loss</w:t>
      </w:r>
    </w:p>
    <w:p w:rsidR="008369B9" w:rsidRPr="00803F0A" w:rsidRDefault="00803F0A" w:rsidP="008369B9">
      <w:pPr>
        <w:widowControl/>
        <w:tabs>
          <w:tab w:val="left" w:pos="-720"/>
        </w:tabs>
        <w:suppressAutoHyphens/>
        <w:spacing w:after="240"/>
        <w:ind w:firstLine="720"/>
        <w:jc w:val="both"/>
        <w:rPr>
          <w:sz w:val="22"/>
        </w:rPr>
      </w:pPr>
      <w:r>
        <w:rPr>
          <w:sz w:val="22"/>
        </w:rPr>
        <w:t>Accumulated Other Comprehensive Loss (“</w:t>
      </w:r>
      <w:r w:rsidR="008369B9" w:rsidRPr="00803F0A">
        <w:rPr>
          <w:sz w:val="22"/>
        </w:rPr>
        <w:t>A</w:t>
      </w:r>
      <w:r w:rsidR="00844856" w:rsidRPr="00803F0A">
        <w:rPr>
          <w:sz w:val="22"/>
        </w:rPr>
        <w:t>OCI</w:t>
      </w:r>
      <w:r>
        <w:rPr>
          <w:sz w:val="22"/>
        </w:rPr>
        <w:t>”)</w:t>
      </w:r>
      <w:r w:rsidR="008369B9" w:rsidRPr="00803F0A">
        <w:rPr>
          <w:sz w:val="22"/>
        </w:rPr>
        <w:t xml:space="preserve"> includes the changes in the fair value of derivative</w:t>
      </w:r>
      <w:r>
        <w:rPr>
          <w:sz w:val="22"/>
        </w:rPr>
        <w:t xml:space="preserve"> </w:t>
      </w:r>
      <w:r w:rsidR="008369B9" w:rsidRPr="00803F0A">
        <w:rPr>
          <w:sz w:val="22"/>
        </w:rPr>
        <w:t>instruments, reclassification into earnings of amounts previously deferred relating to derivative instruments and foreign currency translation gains and losses primarily relating to the Company’s Canadian operation.</w:t>
      </w:r>
    </w:p>
    <w:p w:rsidR="008369B9" w:rsidRPr="00803F0A" w:rsidRDefault="00CB3C3C" w:rsidP="008369B9">
      <w:pPr>
        <w:widowControl/>
        <w:tabs>
          <w:tab w:val="left" w:pos="-720"/>
        </w:tabs>
        <w:suppressAutoHyphens/>
        <w:spacing w:after="240"/>
        <w:ind w:firstLine="720"/>
        <w:jc w:val="both"/>
        <w:rPr>
          <w:sz w:val="22"/>
        </w:rPr>
      </w:pPr>
      <w:r w:rsidRPr="00803F0A">
        <w:rPr>
          <w:sz w:val="22"/>
        </w:rPr>
        <w:t xml:space="preserve">For the </w:t>
      </w:r>
      <w:r w:rsidR="00803F0A">
        <w:rPr>
          <w:sz w:val="22"/>
        </w:rPr>
        <w:t>three</w:t>
      </w:r>
      <w:r w:rsidRPr="00803F0A">
        <w:rPr>
          <w:sz w:val="22"/>
        </w:rPr>
        <w:t xml:space="preserve"> months ended </w:t>
      </w:r>
      <w:r w:rsidR="00803F0A">
        <w:rPr>
          <w:sz w:val="22"/>
        </w:rPr>
        <w:t>March</w:t>
      </w:r>
      <w:r w:rsidRPr="00803F0A">
        <w:rPr>
          <w:sz w:val="22"/>
        </w:rPr>
        <w:t xml:space="preserve"> 3</w:t>
      </w:r>
      <w:r w:rsidR="00803F0A">
        <w:rPr>
          <w:sz w:val="22"/>
        </w:rPr>
        <w:t>1</w:t>
      </w:r>
      <w:r w:rsidRPr="00803F0A">
        <w:rPr>
          <w:sz w:val="22"/>
        </w:rPr>
        <w:t>, 201</w:t>
      </w:r>
      <w:r w:rsidR="00803F0A">
        <w:rPr>
          <w:sz w:val="22"/>
        </w:rPr>
        <w:t>4</w:t>
      </w:r>
      <w:r w:rsidRPr="00803F0A">
        <w:rPr>
          <w:sz w:val="22"/>
        </w:rPr>
        <w:t>, t</w:t>
      </w:r>
      <w:r w:rsidR="008369B9" w:rsidRPr="00803F0A">
        <w:rPr>
          <w:sz w:val="22"/>
        </w:rPr>
        <w:t>he components of A</w:t>
      </w:r>
      <w:r w:rsidR="00243255" w:rsidRPr="00803F0A">
        <w:rPr>
          <w:sz w:val="22"/>
        </w:rPr>
        <w:t>OCI</w:t>
      </w:r>
      <w:r w:rsidR="00E57EEE" w:rsidRPr="00803F0A">
        <w:rPr>
          <w:sz w:val="22"/>
        </w:rPr>
        <w:t>,</w:t>
      </w:r>
      <w:r w:rsidR="008369B9" w:rsidRPr="00803F0A">
        <w:rPr>
          <w:sz w:val="22"/>
        </w:rPr>
        <w:t xml:space="preserve"> net of </w:t>
      </w:r>
      <w:r w:rsidR="00BC5040" w:rsidRPr="00803F0A">
        <w:rPr>
          <w:sz w:val="22"/>
        </w:rPr>
        <w:t>tax</w:t>
      </w:r>
      <w:r w:rsidR="00E57EEE" w:rsidRPr="00803F0A">
        <w:rPr>
          <w:sz w:val="22"/>
        </w:rPr>
        <w:t>,</w:t>
      </w:r>
      <w:r w:rsidR="008369B9" w:rsidRPr="00803F0A">
        <w:rPr>
          <w:sz w:val="22"/>
        </w:rPr>
        <w:t xml:space="preserve"> are as follows:</w:t>
      </w:r>
    </w:p>
    <w:tbl>
      <w:tblPr>
        <w:tblW w:w="4234" w:type="pct"/>
        <w:jc w:val="center"/>
        <w:tblCellMar>
          <w:left w:w="72" w:type="dxa"/>
          <w:right w:w="72" w:type="dxa"/>
        </w:tblCellMar>
        <w:tblLook w:val="0000" w:firstRow="0" w:lastRow="0" w:firstColumn="0" w:lastColumn="0" w:noHBand="0" w:noVBand="0"/>
      </w:tblPr>
      <w:tblGrid>
        <w:gridCol w:w="3306"/>
        <w:gridCol w:w="1386"/>
        <w:gridCol w:w="1299"/>
        <w:gridCol w:w="1189"/>
        <w:gridCol w:w="1478"/>
      </w:tblGrid>
      <w:tr w:rsidR="006F1A06" w:rsidRPr="0053635E" w:rsidTr="006F1A06">
        <w:trPr>
          <w:cantSplit/>
          <w:jc w:val="center"/>
        </w:trPr>
        <w:tc>
          <w:tcPr>
            <w:tcW w:w="1934" w:type="pct"/>
            <w:tcBorders>
              <w:top w:val="nil"/>
              <w:left w:val="nil"/>
              <w:bottom w:val="nil"/>
              <w:right w:val="nil"/>
            </w:tcBorders>
            <w:vAlign w:val="bottom"/>
          </w:tcPr>
          <w:p w:rsidR="008369B9" w:rsidRPr="0053635E" w:rsidRDefault="008369B9" w:rsidP="008369B9">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highlight w:val="yellow"/>
              </w:rPr>
            </w:pPr>
          </w:p>
        </w:tc>
        <w:tc>
          <w:tcPr>
            <w:tcW w:w="825" w:type="pct"/>
            <w:tcBorders>
              <w:top w:val="nil"/>
              <w:left w:val="nil"/>
              <w:bottom w:val="nil"/>
              <w:right w:val="nil"/>
            </w:tcBorders>
            <w:vAlign w:val="bottom"/>
          </w:tcPr>
          <w:p w:rsidR="008369B9" w:rsidRPr="00803F0A" w:rsidRDefault="008369B9" w:rsidP="001F024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Cs w:val="20"/>
              </w:rPr>
            </w:pPr>
            <w:r w:rsidRPr="00803F0A">
              <w:rPr>
                <w:b/>
                <w:bCs/>
                <w:szCs w:val="20"/>
              </w:rPr>
              <w:t>Unrealized</w:t>
            </w:r>
            <w:r w:rsidRPr="00803F0A">
              <w:rPr>
                <w:b/>
                <w:bCs/>
                <w:szCs w:val="20"/>
              </w:rPr>
              <w:br/>
            </w:r>
            <w:r w:rsidR="001F024C" w:rsidRPr="00803F0A">
              <w:rPr>
                <w:b/>
                <w:bCs/>
                <w:szCs w:val="20"/>
              </w:rPr>
              <w:t>Gain (</w:t>
            </w:r>
            <w:r w:rsidRPr="00803F0A">
              <w:rPr>
                <w:b/>
                <w:bCs/>
                <w:szCs w:val="20"/>
              </w:rPr>
              <w:t>Loss</w:t>
            </w:r>
            <w:r w:rsidR="001F024C" w:rsidRPr="00803F0A">
              <w:rPr>
                <w:b/>
                <w:bCs/>
                <w:szCs w:val="20"/>
              </w:rPr>
              <w:t>)</w:t>
            </w:r>
            <w:r w:rsidRPr="00803F0A">
              <w:rPr>
                <w:b/>
                <w:bCs/>
                <w:szCs w:val="20"/>
              </w:rPr>
              <w:t xml:space="preserve"> on</w:t>
            </w:r>
            <w:r w:rsidRPr="00803F0A">
              <w:rPr>
                <w:b/>
                <w:bCs/>
                <w:szCs w:val="20"/>
              </w:rPr>
              <w:br/>
              <w:t>Derivative</w:t>
            </w:r>
            <w:r w:rsidRPr="00803F0A">
              <w:rPr>
                <w:b/>
                <w:bCs/>
                <w:szCs w:val="20"/>
              </w:rPr>
              <w:br/>
              <w:t>Instruments</w:t>
            </w:r>
          </w:p>
        </w:tc>
        <w:tc>
          <w:tcPr>
            <w:tcW w:w="775" w:type="pct"/>
            <w:tcBorders>
              <w:top w:val="nil"/>
              <w:left w:val="nil"/>
              <w:bottom w:val="nil"/>
              <w:right w:val="nil"/>
            </w:tcBorders>
            <w:vAlign w:val="bottom"/>
          </w:tcPr>
          <w:p w:rsidR="008369B9" w:rsidRPr="00803F0A" w:rsidRDefault="008369B9" w:rsidP="008369B9">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Cs w:val="20"/>
              </w:rPr>
            </w:pPr>
            <w:r w:rsidRPr="00803F0A">
              <w:rPr>
                <w:b/>
                <w:bCs/>
                <w:szCs w:val="20"/>
              </w:rPr>
              <w:t>Net Derivative</w:t>
            </w:r>
            <w:r w:rsidRPr="00803F0A">
              <w:rPr>
                <w:b/>
                <w:bCs/>
                <w:szCs w:val="20"/>
              </w:rPr>
              <w:br/>
              <w:t>Loss to be</w:t>
            </w:r>
            <w:r w:rsidRPr="00803F0A">
              <w:rPr>
                <w:b/>
                <w:bCs/>
                <w:szCs w:val="20"/>
              </w:rPr>
              <w:br/>
              <w:t>Reclassified</w:t>
            </w:r>
            <w:r w:rsidRPr="00803F0A">
              <w:rPr>
                <w:b/>
                <w:bCs/>
                <w:szCs w:val="20"/>
              </w:rPr>
              <w:br/>
              <w:t>into Earnings</w:t>
            </w:r>
          </w:p>
        </w:tc>
        <w:tc>
          <w:tcPr>
            <w:tcW w:w="711" w:type="pct"/>
            <w:tcBorders>
              <w:top w:val="nil"/>
              <w:left w:val="nil"/>
              <w:bottom w:val="nil"/>
              <w:right w:val="nil"/>
            </w:tcBorders>
            <w:vAlign w:val="bottom"/>
          </w:tcPr>
          <w:p w:rsidR="008369B9" w:rsidRPr="00803F0A" w:rsidRDefault="008369B9" w:rsidP="008369B9">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Cs w:val="20"/>
              </w:rPr>
            </w:pPr>
            <w:r w:rsidRPr="00803F0A">
              <w:rPr>
                <w:b/>
                <w:bCs/>
                <w:szCs w:val="20"/>
              </w:rPr>
              <w:t>Foreign</w:t>
            </w:r>
            <w:r w:rsidRPr="00803F0A">
              <w:rPr>
                <w:b/>
                <w:bCs/>
                <w:szCs w:val="20"/>
              </w:rPr>
              <w:br/>
              <w:t>Currency</w:t>
            </w:r>
            <w:r w:rsidRPr="00803F0A">
              <w:rPr>
                <w:b/>
                <w:bCs/>
                <w:szCs w:val="20"/>
              </w:rPr>
              <w:br/>
              <w:t>Translation</w:t>
            </w:r>
          </w:p>
        </w:tc>
        <w:tc>
          <w:tcPr>
            <w:tcW w:w="756" w:type="pct"/>
            <w:tcBorders>
              <w:top w:val="nil"/>
              <w:left w:val="nil"/>
              <w:bottom w:val="nil"/>
              <w:right w:val="nil"/>
            </w:tcBorders>
            <w:vAlign w:val="bottom"/>
          </w:tcPr>
          <w:p w:rsidR="008369B9" w:rsidRPr="00803F0A" w:rsidRDefault="008369B9" w:rsidP="008369B9">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Cs w:val="20"/>
              </w:rPr>
            </w:pPr>
            <w:r w:rsidRPr="00803F0A">
              <w:rPr>
                <w:b/>
                <w:bCs/>
                <w:szCs w:val="20"/>
              </w:rPr>
              <w:t>Total</w:t>
            </w:r>
            <w:r w:rsidRPr="00803F0A">
              <w:rPr>
                <w:b/>
                <w:bCs/>
                <w:szCs w:val="20"/>
              </w:rPr>
              <w:br/>
              <w:t>Accumulated</w:t>
            </w:r>
            <w:r w:rsidRPr="00803F0A">
              <w:rPr>
                <w:b/>
                <w:bCs/>
                <w:szCs w:val="20"/>
              </w:rPr>
              <w:br/>
              <w:t>Other</w:t>
            </w:r>
            <w:r w:rsidRPr="00803F0A">
              <w:rPr>
                <w:b/>
                <w:bCs/>
                <w:szCs w:val="20"/>
              </w:rPr>
              <w:br/>
              <w:t>Comprehensive</w:t>
            </w:r>
            <w:r w:rsidRPr="00803F0A">
              <w:rPr>
                <w:b/>
                <w:bCs/>
                <w:szCs w:val="20"/>
              </w:rPr>
              <w:br/>
              <w:t>Loss</w:t>
            </w:r>
          </w:p>
        </w:tc>
      </w:tr>
      <w:tr w:rsidR="006F1A06" w:rsidRPr="00241864" w:rsidTr="006F1A06">
        <w:trPr>
          <w:cantSplit/>
          <w:jc w:val="center"/>
        </w:trPr>
        <w:tc>
          <w:tcPr>
            <w:tcW w:w="1934" w:type="pct"/>
            <w:tcBorders>
              <w:top w:val="nil"/>
              <w:left w:val="nil"/>
              <w:bottom w:val="nil"/>
              <w:right w:val="nil"/>
            </w:tcBorders>
          </w:tcPr>
          <w:p w:rsidR="008369B9" w:rsidRPr="00803F0A" w:rsidRDefault="008369B9" w:rsidP="00803F0A">
            <w:pPr>
              <w:widowControl/>
              <w:suppressAutoHyphens/>
              <w:ind w:left="200" w:hanging="200"/>
              <w:rPr>
                <w:sz w:val="22"/>
              </w:rPr>
            </w:pPr>
            <w:r w:rsidRPr="00803F0A">
              <w:rPr>
                <w:sz w:val="22"/>
              </w:rPr>
              <w:t>Balance, December 31, 201</w:t>
            </w:r>
            <w:r w:rsidR="00803F0A" w:rsidRPr="00803F0A">
              <w:rPr>
                <w:sz w:val="22"/>
              </w:rPr>
              <w:t>3</w:t>
            </w:r>
            <w:r w:rsidRPr="00803F0A">
              <w:rPr>
                <w:sz w:val="22"/>
              </w:rPr>
              <w:tab/>
            </w:r>
          </w:p>
        </w:tc>
        <w:tc>
          <w:tcPr>
            <w:tcW w:w="825" w:type="pct"/>
            <w:tcBorders>
              <w:top w:val="nil"/>
              <w:left w:val="nil"/>
              <w:bottom w:val="nil"/>
              <w:right w:val="nil"/>
            </w:tcBorders>
            <w:vAlign w:val="bottom"/>
          </w:tcPr>
          <w:p w:rsidR="008369B9" w:rsidRPr="00803F0A" w:rsidRDefault="008369B9" w:rsidP="00803F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03F0A">
              <w:rPr>
                <w:sz w:val="22"/>
              </w:rPr>
              <w:t>$</w:t>
            </w:r>
            <w:r w:rsidR="006F1A06" w:rsidRPr="00803F0A">
              <w:rPr>
                <w:sz w:val="22"/>
              </w:rPr>
              <w:t xml:space="preserve">  </w:t>
            </w:r>
            <w:r w:rsidR="003D3CBD" w:rsidRPr="00803F0A">
              <w:rPr>
                <w:sz w:val="22"/>
              </w:rPr>
              <w:t xml:space="preserve">         </w:t>
            </w:r>
            <w:r w:rsidR="00803F0A" w:rsidRPr="00803F0A">
              <w:rPr>
                <w:sz w:val="22"/>
              </w:rPr>
              <w:t>2,020</w:t>
            </w:r>
          </w:p>
        </w:tc>
        <w:tc>
          <w:tcPr>
            <w:tcW w:w="775" w:type="pct"/>
            <w:tcBorders>
              <w:top w:val="nil"/>
              <w:left w:val="nil"/>
              <w:bottom w:val="nil"/>
              <w:right w:val="nil"/>
            </w:tcBorders>
            <w:vAlign w:val="bottom"/>
          </w:tcPr>
          <w:p w:rsidR="008369B9" w:rsidRPr="00803F0A" w:rsidRDefault="008369B9" w:rsidP="00803F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03F0A">
              <w:rPr>
                <w:sz w:val="22"/>
              </w:rPr>
              <w:t>$</w:t>
            </w:r>
            <w:r w:rsidR="00121EA5">
              <w:rPr>
                <w:sz w:val="22"/>
              </w:rPr>
              <w:t xml:space="preserve"> </w:t>
            </w:r>
            <w:r w:rsidR="006F1A06" w:rsidRPr="00803F0A">
              <w:rPr>
                <w:sz w:val="22"/>
              </w:rPr>
              <w:t xml:space="preserve">  </w:t>
            </w:r>
            <w:r w:rsidR="00CB3C3C" w:rsidRPr="00803F0A">
              <w:rPr>
                <w:sz w:val="22"/>
              </w:rPr>
              <w:t xml:space="preserve">  </w:t>
            </w:r>
            <w:r w:rsidRPr="00803F0A">
              <w:rPr>
                <w:sz w:val="22"/>
              </w:rPr>
              <w:t>(</w:t>
            </w:r>
            <w:r w:rsidR="00803F0A" w:rsidRPr="00803F0A">
              <w:rPr>
                <w:sz w:val="22"/>
              </w:rPr>
              <w:t>40</w:t>
            </w:r>
            <w:r w:rsidRPr="00803F0A">
              <w:rPr>
                <w:sz w:val="22"/>
              </w:rPr>
              <w:t>,</w:t>
            </w:r>
            <w:r w:rsidR="00803F0A" w:rsidRPr="00803F0A">
              <w:rPr>
                <w:sz w:val="22"/>
              </w:rPr>
              <w:t>226</w:t>
            </w:r>
            <w:r w:rsidRPr="00803F0A">
              <w:rPr>
                <w:sz w:val="22"/>
              </w:rPr>
              <w:t>)</w:t>
            </w:r>
          </w:p>
        </w:tc>
        <w:tc>
          <w:tcPr>
            <w:tcW w:w="711" w:type="pct"/>
            <w:tcBorders>
              <w:top w:val="nil"/>
              <w:left w:val="nil"/>
              <w:bottom w:val="nil"/>
              <w:right w:val="nil"/>
            </w:tcBorders>
            <w:vAlign w:val="bottom"/>
          </w:tcPr>
          <w:p w:rsidR="008369B9" w:rsidRPr="00241864" w:rsidRDefault="008369B9" w:rsidP="00803F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241864">
              <w:rPr>
                <w:sz w:val="22"/>
              </w:rPr>
              <w:t>$</w:t>
            </w:r>
            <w:r w:rsidR="006F1A06" w:rsidRPr="00241864">
              <w:rPr>
                <w:sz w:val="22"/>
              </w:rPr>
              <w:t xml:space="preserve">   </w:t>
            </w:r>
            <w:r w:rsidR="00CB3C3C" w:rsidRPr="00241864">
              <w:rPr>
                <w:sz w:val="22"/>
              </w:rPr>
              <w:t xml:space="preserve">     </w:t>
            </w:r>
            <w:r w:rsidR="00803F0A" w:rsidRPr="00241864">
              <w:rPr>
                <w:sz w:val="22"/>
              </w:rPr>
              <w:t>(142)</w:t>
            </w:r>
          </w:p>
        </w:tc>
        <w:tc>
          <w:tcPr>
            <w:tcW w:w="756" w:type="pct"/>
            <w:tcBorders>
              <w:top w:val="nil"/>
              <w:left w:val="nil"/>
              <w:bottom w:val="nil"/>
              <w:right w:val="nil"/>
            </w:tcBorders>
            <w:vAlign w:val="bottom"/>
          </w:tcPr>
          <w:p w:rsidR="008369B9" w:rsidRPr="00241864" w:rsidRDefault="008369B9" w:rsidP="00121EA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241864">
              <w:rPr>
                <w:sz w:val="22"/>
              </w:rPr>
              <w:t>$</w:t>
            </w:r>
            <w:r w:rsidR="00CB3C3C" w:rsidRPr="00241864">
              <w:rPr>
                <w:sz w:val="22"/>
              </w:rPr>
              <w:t xml:space="preserve">   </w:t>
            </w:r>
            <w:r w:rsidR="00121EA5">
              <w:rPr>
                <w:sz w:val="22"/>
              </w:rPr>
              <w:t xml:space="preserve">  </w:t>
            </w:r>
            <w:r w:rsidR="00CB3C3C" w:rsidRPr="00241864">
              <w:rPr>
                <w:sz w:val="22"/>
              </w:rPr>
              <w:t xml:space="preserve">   </w:t>
            </w:r>
            <w:r w:rsidRPr="00241864">
              <w:rPr>
                <w:sz w:val="22"/>
              </w:rPr>
              <w:t>(</w:t>
            </w:r>
            <w:r w:rsidR="00803F0A" w:rsidRPr="00241864">
              <w:rPr>
                <w:sz w:val="22"/>
              </w:rPr>
              <w:t>38</w:t>
            </w:r>
            <w:r w:rsidRPr="00241864">
              <w:rPr>
                <w:sz w:val="22"/>
              </w:rPr>
              <w:t>,</w:t>
            </w:r>
            <w:r w:rsidR="00803F0A" w:rsidRPr="00241864">
              <w:rPr>
                <w:sz w:val="22"/>
              </w:rPr>
              <w:t>348</w:t>
            </w:r>
            <w:r w:rsidRPr="00241864">
              <w:rPr>
                <w:sz w:val="22"/>
              </w:rPr>
              <w:t>)</w:t>
            </w:r>
          </w:p>
        </w:tc>
      </w:tr>
      <w:tr w:rsidR="006F1A06" w:rsidRPr="00241864" w:rsidTr="006F1A06">
        <w:trPr>
          <w:cantSplit/>
          <w:jc w:val="center"/>
        </w:trPr>
        <w:tc>
          <w:tcPr>
            <w:tcW w:w="1934" w:type="pct"/>
            <w:tcBorders>
              <w:top w:val="nil"/>
              <w:left w:val="nil"/>
              <w:bottom w:val="nil"/>
              <w:right w:val="nil"/>
            </w:tcBorders>
          </w:tcPr>
          <w:p w:rsidR="008369B9" w:rsidRPr="00803F0A" w:rsidRDefault="008369B9" w:rsidP="00243255">
            <w:pPr>
              <w:widowControl/>
              <w:suppressAutoHyphens/>
              <w:spacing w:after="20"/>
              <w:ind w:left="200" w:hanging="200"/>
              <w:rPr>
                <w:sz w:val="22"/>
              </w:rPr>
            </w:pPr>
            <w:r w:rsidRPr="00803F0A">
              <w:rPr>
                <w:sz w:val="22"/>
              </w:rPr>
              <w:t>Current</w:t>
            </w:r>
            <w:r w:rsidRPr="00803F0A">
              <w:rPr>
                <w:sz w:val="22"/>
              </w:rPr>
              <w:noBreakHyphen/>
              <w:t>period other comprehensive</w:t>
            </w:r>
            <w:r w:rsidR="006F1A06" w:rsidRPr="00803F0A">
              <w:rPr>
                <w:sz w:val="22"/>
              </w:rPr>
              <w:t xml:space="preserve"> </w:t>
            </w:r>
            <w:r w:rsidR="00243255" w:rsidRPr="00803F0A">
              <w:rPr>
                <w:sz w:val="22"/>
              </w:rPr>
              <w:t xml:space="preserve">income </w:t>
            </w:r>
            <w:r w:rsidRPr="00803F0A">
              <w:rPr>
                <w:sz w:val="22"/>
              </w:rPr>
              <w:t>(loss)</w:t>
            </w:r>
            <w:r w:rsidRPr="00803F0A">
              <w:rPr>
                <w:sz w:val="22"/>
              </w:rPr>
              <w:tab/>
            </w:r>
          </w:p>
        </w:tc>
        <w:tc>
          <w:tcPr>
            <w:tcW w:w="825" w:type="pct"/>
            <w:tcBorders>
              <w:top w:val="nil"/>
              <w:left w:val="nil"/>
              <w:bottom w:val="nil"/>
              <w:right w:val="nil"/>
            </w:tcBorders>
            <w:vAlign w:val="bottom"/>
          </w:tcPr>
          <w:p w:rsidR="008369B9" w:rsidRPr="009E167A" w:rsidRDefault="0086272D" w:rsidP="0086272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9E167A">
              <w:rPr>
                <w:sz w:val="22"/>
              </w:rPr>
              <w:t>(136)</w:t>
            </w:r>
          </w:p>
        </w:tc>
        <w:tc>
          <w:tcPr>
            <w:tcW w:w="775" w:type="pct"/>
            <w:tcBorders>
              <w:top w:val="nil"/>
              <w:left w:val="nil"/>
              <w:bottom w:val="nil"/>
              <w:right w:val="nil"/>
            </w:tcBorders>
            <w:vAlign w:val="bottom"/>
          </w:tcPr>
          <w:p w:rsidR="008369B9" w:rsidRPr="0086272D" w:rsidRDefault="0086272D" w:rsidP="0086272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86272D">
              <w:rPr>
                <w:sz w:val="22"/>
              </w:rPr>
              <w:t>2</w:t>
            </w:r>
            <w:r w:rsidR="008369B9" w:rsidRPr="0086272D">
              <w:rPr>
                <w:sz w:val="22"/>
              </w:rPr>
              <w:t>,</w:t>
            </w:r>
            <w:r w:rsidRPr="0086272D">
              <w:rPr>
                <w:sz w:val="22"/>
              </w:rPr>
              <w:t>792</w:t>
            </w:r>
          </w:p>
        </w:tc>
        <w:tc>
          <w:tcPr>
            <w:tcW w:w="711" w:type="pct"/>
            <w:tcBorders>
              <w:top w:val="nil"/>
              <w:left w:val="nil"/>
              <w:bottom w:val="nil"/>
              <w:right w:val="nil"/>
            </w:tcBorders>
            <w:vAlign w:val="bottom"/>
          </w:tcPr>
          <w:p w:rsidR="008369B9" w:rsidRPr="00241864" w:rsidRDefault="00014B1E" w:rsidP="0024186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241864">
              <w:rPr>
                <w:sz w:val="22"/>
              </w:rPr>
              <w:t>(</w:t>
            </w:r>
            <w:r w:rsidR="00241864" w:rsidRPr="00241864">
              <w:rPr>
                <w:sz w:val="22"/>
              </w:rPr>
              <w:t>207</w:t>
            </w:r>
            <w:r w:rsidRPr="00241864">
              <w:rPr>
                <w:sz w:val="22"/>
              </w:rPr>
              <w:t>)</w:t>
            </w:r>
          </w:p>
        </w:tc>
        <w:tc>
          <w:tcPr>
            <w:tcW w:w="756" w:type="pct"/>
            <w:tcBorders>
              <w:top w:val="nil"/>
              <w:left w:val="nil"/>
              <w:bottom w:val="nil"/>
              <w:right w:val="nil"/>
            </w:tcBorders>
            <w:vAlign w:val="bottom"/>
          </w:tcPr>
          <w:p w:rsidR="008369B9" w:rsidRPr="00241864" w:rsidRDefault="00241864" w:rsidP="0024186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241864">
              <w:rPr>
                <w:sz w:val="22"/>
              </w:rPr>
              <w:t>2</w:t>
            </w:r>
            <w:r w:rsidR="008369B9" w:rsidRPr="00241864">
              <w:rPr>
                <w:sz w:val="22"/>
              </w:rPr>
              <w:t>,</w:t>
            </w:r>
            <w:r w:rsidRPr="00241864">
              <w:rPr>
                <w:sz w:val="22"/>
              </w:rPr>
              <w:t>449</w:t>
            </w:r>
          </w:p>
        </w:tc>
      </w:tr>
      <w:tr w:rsidR="006F1A06" w:rsidRPr="00241864" w:rsidTr="006F1A06">
        <w:trPr>
          <w:cantSplit/>
          <w:jc w:val="center"/>
        </w:trPr>
        <w:tc>
          <w:tcPr>
            <w:tcW w:w="1934" w:type="pct"/>
            <w:tcBorders>
              <w:top w:val="nil"/>
              <w:left w:val="nil"/>
              <w:bottom w:val="nil"/>
              <w:right w:val="nil"/>
            </w:tcBorders>
          </w:tcPr>
          <w:p w:rsidR="008369B9" w:rsidRPr="00803F0A" w:rsidRDefault="008369B9" w:rsidP="00803F0A">
            <w:pPr>
              <w:widowControl/>
              <w:suppressAutoHyphens/>
              <w:ind w:left="200" w:hanging="200"/>
              <w:rPr>
                <w:sz w:val="22"/>
              </w:rPr>
            </w:pPr>
            <w:r w:rsidRPr="00803F0A">
              <w:rPr>
                <w:sz w:val="22"/>
              </w:rPr>
              <w:t xml:space="preserve">Balance, </w:t>
            </w:r>
            <w:r w:rsidR="00803F0A" w:rsidRPr="00803F0A">
              <w:rPr>
                <w:sz w:val="22"/>
              </w:rPr>
              <w:t>March</w:t>
            </w:r>
            <w:r w:rsidRPr="00803F0A">
              <w:rPr>
                <w:sz w:val="22"/>
              </w:rPr>
              <w:t> 3</w:t>
            </w:r>
            <w:r w:rsidR="00803F0A" w:rsidRPr="00803F0A">
              <w:rPr>
                <w:sz w:val="22"/>
              </w:rPr>
              <w:t>1</w:t>
            </w:r>
            <w:r w:rsidRPr="00803F0A">
              <w:rPr>
                <w:sz w:val="22"/>
              </w:rPr>
              <w:t>, 201</w:t>
            </w:r>
            <w:r w:rsidR="00803F0A" w:rsidRPr="00803F0A">
              <w:rPr>
                <w:sz w:val="22"/>
              </w:rPr>
              <w:t>4</w:t>
            </w:r>
            <w:r w:rsidRPr="00803F0A">
              <w:rPr>
                <w:sz w:val="22"/>
              </w:rPr>
              <w:tab/>
            </w:r>
          </w:p>
        </w:tc>
        <w:tc>
          <w:tcPr>
            <w:tcW w:w="825" w:type="pct"/>
            <w:tcBorders>
              <w:top w:val="nil"/>
              <w:left w:val="nil"/>
              <w:bottom w:val="nil"/>
              <w:right w:val="nil"/>
            </w:tcBorders>
            <w:vAlign w:val="bottom"/>
          </w:tcPr>
          <w:p w:rsidR="008369B9" w:rsidRPr="009E167A" w:rsidRDefault="008369B9" w:rsidP="00805C4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u w:val="double"/>
              </w:rPr>
            </w:pPr>
            <w:r w:rsidRPr="009E167A">
              <w:rPr>
                <w:sz w:val="22"/>
                <w:u w:val="double"/>
              </w:rPr>
              <w:t>$</w:t>
            </w:r>
            <w:r w:rsidR="006F1A06" w:rsidRPr="009E167A">
              <w:rPr>
                <w:sz w:val="22"/>
                <w:u w:val="double"/>
              </w:rPr>
              <w:t xml:space="preserve"> </w:t>
            </w:r>
            <w:r w:rsidR="00805C46">
              <w:rPr>
                <w:sz w:val="22"/>
                <w:u w:val="double"/>
              </w:rPr>
              <w:t xml:space="preserve">  </w:t>
            </w:r>
            <w:r w:rsidR="003E0188" w:rsidRPr="009E167A">
              <w:rPr>
                <w:sz w:val="22"/>
                <w:u w:val="double"/>
              </w:rPr>
              <w:t xml:space="preserve"> </w:t>
            </w:r>
            <w:r w:rsidR="006F1A06" w:rsidRPr="009E167A">
              <w:rPr>
                <w:sz w:val="22"/>
                <w:u w:val="double"/>
              </w:rPr>
              <w:t xml:space="preserve">   </w:t>
            </w:r>
            <w:r w:rsidR="00014B1E" w:rsidRPr="009E167A">
              <w:rPr>
                <w:sz w:val="22"/>
                <w:u w:val="double"/>
              </w:rPr>
              <w:t xml:space="preserve">   </w:t>
            </w:r>
            <w:r w:rsidR="00CB3C3C" w:rsidRPr="009E167A">
              <w:rPr>
                <w:sz w:val="22"/>
                <w:u w:val="double"/>
              </w:rPr>
              <w:t xml:space="preserve"> </w:t>
            </w:r>
            <w:r w:rsidR="0086272D" w:rsidRPr="009E167A">
              <w:rPr>
                <w:sz w:val="22"/>
                <w:u w:val="double"/>
              </w:rPr>
              <w:t>1</w:t>
            </w:r>
            <w:r w:rsidR="00F7014F" w:rsidRPr="009E167A">
              <w:rPr>
                <w:sz w:val="22"/>
                <w:u w:val="double"/>
              </w:rPr>
              <w:t>,</w:t>
            </w:r>
            <w:r w:rsidR="0086272D" w:rsidRPr="009E167A">
              <w:rPr>
                <w:sz w:val="22"/>
                <w:u w:val="double"/>
              </w:rPr>
              <w:t>884</w:t>
            </w:r>
          </w:p>
        </w:tc>
        <w:tc>
          <w:tcPr>
            <w:tcW w:w="775" w:type="pct"/>
            <w:tcBorders>
              <w:top w:val="nil"/>
              <w:left w:val="nil"/>
              <w:bottom w:val="nil"/>
              <w:right w:val="nil"/>
            </w:tcBorders>
            <w:vAlign w:val="bottom"/>
          </w:tcPr>
          <w:p w:rsidR="008369B9" w:rsidRPr="0086272D" w:rsidRDefault="008369B9" w:rsidP="00121EA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u w:val="double"/>
              </w:rPr>
            </w:pPr>
            <w:r w:rsidRPr="0086272D">
              <w:rPr>
                <w:sz w:val="22"/>
                <w:u w:val="double"/>
              </w:rPr>
              <w:t>$</w:t>
            </w:r>
            <w:r w:rsidR="00121EA5">
              <w:rPr>
                <w:sz w:val="22"/>
                <w:u w:val="double"/>
              </w:rPr>
              <w:t xml:space="preserve">  </w:t>
            </w:r>
            <w:r w:rsidR="00CB3C3C" w:rsidRPr="0086272D">
              <w:rPr>
                <w:sz w:val="22"/>
                <w:u w:val="double"/>
              </w:rPr>
              <w:t xml:space="preserve">   </w:t>
            </w:r>
            <w:r w:rsidRPr="0086272D">
              <w:rPr>
                <w:sz w:val="22"/>
                <w:u w:val="double"/>
              </w:rPr>
              <w:t>(</w:t>
            </w:r>
            <w:r w:rsidR="0086272D">
              <w:rPr>
                <w:sz w:val="22"/>
                <w:u w:val="double"/>
              </w:rPr>
              <w:t>37</w:t>
            </w:r>
            <w:r w:rsidRPr="0086272D">
              <w:rPr>
                <w:sz w:val="22"/>
                <w:u w:val="double"/>
              </w:rPr>
              <w:t>,</w:t>
            </w:r>
            <w:r w:rsidR="0086272D">
              <w:rPr>
                <w:sz w:val="22"/>
                <w:u w:val="double"/>
              </w:rPr>
              <w:t>434</w:t>
            </w:r>
            <w:r w:rsidRPr="0086272D">
              <w:rPr>
                <w:sz w:val="22"/>
                <w:u w:val="double"/>
              </w:rPr>
              <w:t>)</w:t>
            </w:r>
          </w:p>
        </w:tc>
        <w:tc>
          <w:tcPr>
            <w:tcW w:w="711" w:type="pct"/>
            <w:tcBorders>
              <w:top w:val="nil"/>
              <w:left w:val="nil"/>
              <w:bottom w:val="nil"/>
              <w:right w:val="nil"/>
            </w:tcBorders>
            <w:vAlign w:val="bottom"/>
          </w:tcPr>
          <w:p w:rsidR="008369B9" w:rsidRPr="00241864" w:rsidRDefault="008369B9" w:rsidP="00121EA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u w:val="double"/>
              </w:rPr>
            </w:pPr>
            <w:r w:rsidRPr="00241864">
              <w:rPr>
                <w:sz w:val="22"/>
                <w:u w:val="double"/>
              </w:rPr>
              <w:t>$</w:t>
            </w:r>
            <w:r w:rsidR="006F1A06" w:rsidRPr="00241864">
              <w:rPr>
                <w:sz w:val="22"/>
                <w:u w:val="double"/>
              </w:rPr>
              <w:t xml:space="preserve"> </w:t>
            </w:r>
            <w:r w:rsidR="00CB3C3C" w:rsidRPr="00241864">
              <w:rPr>
                <w:sz w:val="22"/>
                <w:u w:val="double"/>
              </w:rPr>
              <w:t xml:space="preserve"> </w:t>
            </w:r>
            <w:r w:rsidR="00121EA5">
              <w:rPr>
                <w:sz w:val="22"/>
                <w:u w:val="double"/>
              </w:rPr>
              <w:t xml:space="preserve"> </w:t>
            </w:r>
            <w:r w:rsidR="00CB3C3C" w:rsidRPr="00241864">
              <w:rPr>
                <w:sz w:val="22"/>
                <w:u w:val="double"/>
              </w:rPr>
              <w:t xml:space="preserve"> </w:t>
            </w:r>
            <w:r w:rsidR="00014B1E" w:rsidRPr="00241864">
              <w:rPr>
                <w:sz w:val="22"/>
                <w:u w:val="double"/>
              </w:rPr>
              <w:t xml:space="preserve">   </w:t>
            </w:r>
            <w:r w:rsidR="00CB3C3C" w:rsidRPr="00241864">
              <w:rPr>
                <w:sz w:val="22"/>
                <w:u w:val="double"/>
              </w:rPr>
              <w:t xml:space="preserve"> </w:t>
            </w:r>
            <w:r w:rsidR="00241864" w:rsidRPr="00241864">
              <w:rPr>
                <w:sz w:val="22"/>
                <w:u w:val="double"/>
              </w:rPr>
              <w:t>(349)</w:t>
            </w:r>
          </w:p>
        </w:tc>
        <w:tc>
          <w:tcPr>
            <w:tcW w:w="756" w:type="pct"/>
            <w:tcBorders>
              <w:top w:val="nil"/>
              <w:left w:val="nil"/>
              <w:bottom w:val="nil"/>
              <w:right w:val="nil"/>
            </w:tcBorders>
            <w:vAlign w:val="bottom"/>
          </w:tcPr>
          <w:p w:rsidR="008369B9" w:rsidRPr="00241864" w:rsidRDefault="008369B9" w:rsidP="0024186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u w:val="double"/>
              </w:rPr>
            </w:pPr>
            <w:r w:rsidRPr="00241864">
              <w:rPr>
                <w:sz w:val="22"/>
                <w:u w:val="double"/>
              </w:rPr>
              <w:t>$</w:t>
            </w:r>
            <w:r w:rsidR="00CB3C3C" w:rsidRPr="00241864">
              <w:rPr>
                <w:sz w:val="22"/>
                <w:u w:val="double"/>
              </w:rPr>
              <w:t xml:space="preserve">       </w:t>
            </w:r>
            <w:r w:rsidRPr="00241864">
              <w:rPr>
                <w:sz w:val="22"/>
                <w:u w:val="double"/>
              </w:rPr>
              <w:t>(</w:t>
            </w:r>
            <w:r w:rsidR="00241864" w:rsidRPr="00241864">
              <w:rPr>
                <w:sz w:val="22"/>
                <w:u w:val="double"/>
              </w:rPr>
              <w:t>35</w:t>
            </w:r>
            <w:r w:rsidRPr="00241864">
              <w:rPr>
                <w:sz w:val="22"/>
                <w:u w:val="double"/>
              </w:rPr>
              <w:t>,</w:t>
            </w:r>
            <w:r w:rsidR="00241864" w:rsidRPr="00241864">
              <w:rPr>
                <w:sz w:val="22"/>
                <w:u w:val="double"/>
              </w:rPr>
              <w:t>899</w:t>
            </w:r>
            <w:r w:rsidRPr="00241864">
              <w:rPr>
                <w:sz w:val="22"/>
                <w:u w:val="double"/>
              </w:rPr>
              <w:t>)</w:t>
            </w:r>
          </w:p>
        </w:tc>
      </w:tr>
      <w:tr w:rsidR="006F1A06" w:rsidRPr="00241864" w:rsidTr="006F1A06">
        <w:trPr>
          <w:cantSplit/>
          <w:jc w:val="center"/>
        </w:trPr>
        <w:tc>
          <w:tcPr>
            <w:tcW w:w="1934" w:type="pct"/>
            <w:tcBorders>
              <w:top w:val="nil"/>
              <w:left w:val="nil"/>
              <w:bottom w:val="nil"/>
              <w:right w:val="nil"/>
            </w:tcBorders>
          </w:tcPr>
          <w:p w:rsidR="00CB3C3C" w:rsidRPr="0053635E" w:rsidRDefault="00CB3C3C" w:rsidP="008369B9">
            <w:pPr>
              <w:widowControl/>
              <w:tabs>
                <w:tab w:val="right" w:leader="dot" w:pos="4060"/>
              </w:tabs>
              <w:suppressAutoHyphens/>
              <w:ind w:left="200" w:hanging="200"/>
              <w:rPr>
                <w:sz w:val="22"/>
                <w:highlight w:val="yellow"/>
              </w:rPr>
            </w:pPr>
          </w:p>
        </w:tc>
        <w:tc>
          <w:tcPr>
            <w:tcW w:w="825" w:type="pct"/>
            <w:tcBorders>
              <w:top w:val="nil"/>
              <w:left w:val="nil"/>
              <w:bottom w:val="nil"/>
              <w:right w:val="nil"/>
            </w:tcBorders>
            <w:vAlign w:val="bottom"/>
          </w:tcPr>
          <w:p w:rsidR="00CB3C3C" w:rsidRPr="0053635E" w:rsidRDefault="00CB3C3C" w:rsidP="008369B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775" w:type="pct"/>
            <w:tcBorders>
              <w:top w:val="nil"/>
              <w:left w:val="nil"/>
              <w:bottom w:val="nil"/>
              <w:right w:val="nil"/>
            </w:tcBorders>
            <w:vAlign w:val="bottom"/>
          </w:tcPr>
          <w:p w:rsidR="00CB3C3C" w:rsidRPr="0086272D" w:rsidRDefault="00CB3C3C" w:rsidP="008369B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711" w:type="pct"/>
            <w:tcBorders>
              <w:top w:val="nil"/>
              <w:left w:val="nil"/>
              <w:bottom w:val="nil"/>
              <w:right w:val="nil"/>
            </w:tcBorders>
            <w:vAlign w:val="bottom"/>
          </w:tcPr>
          <w:p w:rsidR="00CB3C3C" w:rsidRPr="00241864" w:rsidRDefault="00CB3C3C" w:rsidP="008369B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756" w:type="pct"/>
            <w:tcBorders>
              <w:top w:val="nil"/>
              <w:left w:val="nil"/>
              <w:bottom w:val="nil"/>
              <w:right w:val="nil"/>
            </w:tcBorders>
            <w:vAlign w:val="bottom"/>
          </w:tcPr>
          <w:p w:rsidR="00CB3C3C" w:rsidRPr="00241864" w:rsidRDefault="00CB3C3C" w:rsidP="008369B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bl>
    <w:p w:rsidR="00B05E20" w:rsidRPr="009E167A" w:rsidRDefault="00B05E20" w:rsidP="00C17690">
      <w:pPr>
        <w:widowControl/>
        <w:tabs>
          <w:tab w:val="left" w:pos="-720"/>
        </w:tabs>
        <w:suppressAutoHyphens/>
        <w:spacing w:after="240"/>
        <w:jc w:val="both"/>
        <w:rPr>
          <w:sz w:val="22"/>
        </w:rPr>
      </w:pPr>
    </w:p>
    <w:p w:rsidR="00DC1B75" w:rsidRPr="00803F0A" w:rsidRDefault="00DC1B75" w:rsidP="00DC1B75">
      <w:pPr>
        <w:widowControl/>
        <w:tabs>
          <w:tab w:val="left" w:pos="-720"/>
        </w:tabs>
        <w:suppressAutoHyphens/>
        <w:spacing w:after="240"/>
        <w:ind w:firstLine="720"/>
        <w:jc w:val="both"/>
        <w:rPr>
          <w:sz w:val="22"/>
        </w:rPr>
      </w:pPr>
      <w:r w:rsidRPr="009E167A">
        <w:rPr>
          <w:sz w:val="22"/>
        </w:rPr>
        <w:t>The following table presents the effects of reclassifications out of AOCI</w:t>
      </w:r>
      <w:r w:rsidRPr="00803F0A">
        <w:rPr>
          <w:sz w:val="22"/>
        </w:rPr>
        <w:t xml:space="preserve"> and into the Consolidated Statement of Income for the three months ended </w:t>
      </w:r>
      <w:r w:rsidR="00A1568B">
        <w:rPr>
          <w:sz w:val="22"/>
        </w:rPr>
        <w:t>March</w:t>
      </w:r>
      <w:r w:rsidRPr="00803F0A">
        <w:rPr>
          <w:sz w:val="22"/>
        </w:rPr>
        <w:t xml:space="preserve"> 3</w:t>
      </w:r>
      <w:r w:rsidR="00A1568B">
        <w:rPr>
          <w:sz w:val="22"/>
        </w:rPr>
        <w:t>1</w:t>
      </w:r>
      <w:r w:rsidRPr="00803F0A">
        <w:rPr>
          <w:sz w:val="22"/>
        </w:rPr>
        <w:t>, 201</w:t>
      </w:r>
      <w:r w:rsidR="00A1568B">
        <w:rPr>
          <w:sz w:val="22"/>
        </w:rPr>
        <w:t>4</w:t>
      </w:r>
      <w:r w:rsidRPr="00803F0A">
        <w:rPr>
          <w:sz w:val="22"/>
        </w:rPr>
        <w:t>:</w:t>
      </w:r>
    </w:p>
    <w:tbl>
      <w:tblPr>
        <w:tblW w:w="4139" w:type="pct"/>
        <w:jc w:val="center"/>
        <w:tblInd w:w="-96" w:type="dxa"/>
        <w:tblCellMar>
          <w:left w:w="72" w:type="dxa"/>
          <w:right w:w="72" w:type="dxa"/>
        </w:tblCellMar>
        <w:tblLook w:val="0000" w:firstRow="0" w:lastRow="0" w:firstColumn="0" w:lastColumn="0" w:noHBand="0" w:noVBand="0"/>
      </w:tblPr>
      <w:tblGrid>
        <w:gridCol w:w="3936"/>
        <w:gridCol w:w="3048"/>
        <w:gridCol w:w="1479"/>
      </w:tblGrid>
      <w:tr w:rsidR="00DE3C87" w:rsidRPr="0053635E" w:rsidTr="00EA769E">
        <w:trPr>
          <w:cantSplit/>
          <w:jc w:val="center"/>
        </w:trPr>
        <w:tc>
          <w:tcPr>
            <w:tcW w:w="2325" w:type="pct"/>
            <w:tcBorders>
              <w:top w:val="nil"/>
              <w:left w:val="nil"/>
              <w:bottom w:val="nil"/>
              <w:right w:val="nil"/>
            </w:tcBorders>
            <w:vAlign w:val="bottom"/>
          </w:tcPr>
          <w:p w:rsidR="00DE3C87" w:rsidRPr="00EA769E" w:rsidRDefault="00DE3C87" w:rsidP="003D3CBD">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p>
        </w:tc>
        <w:tc>
          <w:tcPr>
            <w:tcW w:w="1800" w:type="pct"/>
            <w:tcBorders>
              <w:top w:val="nil"/>
              <w:left w:val="nil"/>
              <w:bottom w:val="nil"/>
              <w:right w:val="nil"/>
            </w:tcBorders>
            <w:vAlign w:val="bottom"/>
          </w:tcPr>
          <w:p w:rsidR="00DE3C87" w:rsidRPr="00EA769E" w:rsidRDefault="00DE3C87" w:rsidP="00E40FF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Cs w:val="20"/>
              </w:rPr>
            </w:pPr>
            <w:r w:rsidRPr="00EA769E">
              <w:rPr>
                <w:b/>
                <w:bCs/>
                <w:szCs w:val="20"/>
              </w:rPr>
              <w:t>Income Statement Line Item</w:t>
            </w:r>
          </w:p>
        </w:tc>
        <w:tc>
          <w:tcPr>
            <w:tcW w:w="874" w:type="pct"/>
            <w:tcBorders>
              <w:top w:val="nil"/>
              <w:left w:val="nil"/>
              <w:bottom w:val="nil"/>
              <w:right w:val="nil"/>
            </w:tcBorders>
            <w:vAlign w:val="bottom"/>
          </w:tcPr>
          <w:p w:rsidR="00DE3C87" w:rsidRPr="00EA769E" w:rsidRDefault="00DE3C87" w:rsidP="00DE3C8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Cs w:val="20"/>
              </w:rPr>
            </w:pPr>
            <w:r w:rsidRPr="00EA769E">
              <w:rPr>
                <w:b/>
                <w:bCs/>
                <w:szCs w:val="20"/>
              </w:rPr>
              <w:t>Three Months Ended         March 31, 2014</w:t>
            </w:r>
          </w:p>
        </w:tc>
      </w:tr>
      <w:tr w:rsidR="00DE3C87" w:rsidRPr="0053635E" w:rsidTr="00EA769E">
        <w:trPr>
          <w:cantSplit/>
          <w:jc w:val="center"/>
        </w:trPr>
        <w:tc>
          <w:tcPr>
            <w:tcW w:w="2325" w:type="pct"/>
            <w:tcBorders>
              <w:top w:val="nil"/>
              <w:left w:val="nil"/>
              <w:bottom w:val="nil"/>
              <w:right w:val="nil"/>
            </w:tcBorders>
          </w:tcPr>
          <w:p w:rsidR="00DE3C87" w:rsidRPr="00EA769E" w:rsidRDefault="00DE3C87" w:rsidP="00EA769E">
            <w:pPr>
              <w:widowControl/>
              <w:suppressAutoHyphens/>
              <w:ind w:left="200" w:hanging="200"/>
              <w:rPr>
                <w:sz w:val="22"/>
              </w:rPr>
            </w:pPr>
            <w:r w:rsidRPr="00EA769E">
              <w:rPr>
                <w:sz w:val="22"/>
              </w:rPr>
              <w:t>Total loss in AOCI reclassifications for previously unrealized net losses on terminated derivatives</w:t>
            </w:r>
          </w:p>
        </w:tc>
        <w:tc>
          <w:tcPr>
            <w:tcW w:w="1800" w:type="pct"/>
            <w:tcBorders>
              <w:top w:val="nil"/>
              <w:left w:val="nil"/>
              <w:right w:val="nil"/>
            </w:tcBorders>
            <w:vAlign w:val="bottom"/>
          </w:tcPr>
          <w:p w:rsidR="00DE3C87" w:rsidRPr="00EA769E" w:rsidRDefault="00DE3C87" w:rsidP="003913C4">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 w:val="22"/>
              </w:rPr>
            </w:pPr>
            <w:r w:rsidRPr="00EA769E">
              <w:rPr>
                <w:sz w:val="22"/>
              </w:rPr>
              <w:t>Interest expense</w:t>
            </w:r>
          </w:p>
        </w:tc>
        <w:tc>
          <w:tcPr>
            <w:tcW w:w="874" w:type="pct"/>
            <w:tcBorders>
              <w:top w:val="nil"/>
              <w:left w:val="nil"/>
              <w:bottom w:val="nil"/>
              <w:right w:val="nil"/>
            </w:tcBorders>
            <w:vAlign w:val="bottom"/>
          </w:tcPr>
          <w:p w:rsidR="00DE3C87" w:rsidRPr="002D6279" w:rsidRDefault="00DE3C87" w:rsidP="00AC1859">
            <w:pPr>
              <w:widowControl/>
              <w:tabs>
                <w:tab w:val="left" w:pos="0"/>
                <w:tab w:val="left" w:pos="216"/>
                <w:tab w:val="left" w:pos="432"/>
                <w:tab w:val="left" w:pos="648"/>
                <w:tab w:val="left" w:pos="864"/>
                <w:tab w:val="left" w:pos="1080"/>
                <w:tab w:val="left" w:pos="1406"/>
                <w:tab w:val="left" w:pos="1512"/>
                <w:tab w:val="left" w:pos="1728"/>
                <w:tab w:val="left" w:pos="1944"/>
              </w:tabs>
              <w:suppressAutoHyphens/>
              <w:jc w:val="right"/>
              <w:rPr>
                <w:sz w:val="22"/>
              </w:rPr>
            </w:pPr>
            <w:r w:rsidRPr="002D6279">
              <w:rPr>
                <w:sz w:val="22"/>
              </w:rPr>
              <w:t xml:space="preserve">$    </w:t>
            </w:r>
            <w:r w:rsidR="00AC1859">
              <w:rPr>
                <w:sz w:val="22"/>
              </w:rPr>
              <w:t xml:space="preserve">  </w:t>
            </w:r>
            <w:r w:rsidRPr="002D6279">
              <w:rPr>
                <w:sz w:val="22"/>
              </w:rPr>
              <w:t xml:space="preserve">    </w:t>
            </w:r>
            <w:r w:rsidR="00AC1859">
              <w:rPr>
                <w:sz w:val="22"/>
              </w:rPr>
              <w:t xml:space="preserve">   </w:t>
            </w:r>
            <w:r w:rsidR="002D6279" w:rsidRPr="002D6279">
              <w:rPr>
                <w:sz w:val="22"/>
              </w:rPr>
              <w:t>4</w:t>
            </w:r>
            <w:r w:rsidRPr="002D6279">
              <w:rPr>
                <w:sz w:val="22"/>
              </w:rPr>
              <w:t>,</w:t>
            </w:r>
            <w:r w:rsidR="002D6279" w:rsidRPr="002D6279">
              <w:rPr>
                <w:sz w:val="22"/>
              </w:rPr>
              <w:t>606</w:t>
            </w:r>
          </w:p>
        </w:tc>
      </w:tr>
      <w:tr w:rsidR="00DE3C87" w:rsidRPr="0053635E" w:rsidTr="00EA769E">
        <w:trPr>
          <w:cantSplit/>
          <w:jc w:val="center"/>
        </w:trPr>
        <w:tc>
          <w:tcPr>
            <w:tcW w:w="2325" w:type="pct"/>
            <w:tcBorders>
              <w:top w:val="nil"/>
              <w:left w:val="nil"/>
              <w:bottom w:val="nil"/>
              <w:right w:val="nil"/>
            </w:tcBorders>
          </w:tcPr>
          <w:p w:rsidR="00DE3C87" w:rsidRPr="00EA769E" w:rsidRDefault="00DE3C87" w:rsidP="003D3CBD">
            <w:pPr>
              <w:widowControl/>
              <w:suppressAutoHyphens/>
              <w:spacing w:after="20"/>
              <w:ind w:left="200" w:hanging="200"/>
              <w:rPr>
                <w:sz w:val="22"/>
              </w:rPr>
            </w:pPr>
            <w:r w:rsidRPr="00EA769E">
              <w:rPr>
                <w:sz w:val="22"/>
              </w:rPr>
              <w:t>Related income tax benefit</w:t>
            </w:r>
          </w:p>
        </w:tc>
        <w:tc>
          <w:tcPr>
            <w:tcW w:w="1800" w:type="pct"/>
            <w:tcBorders>
              <w:top w:val="nil"/>
              <w:left w:val="nil"/>
              <w:bottom w:val="nil"/>
              <w:right w:val="nil"/>
            </w:tcBorders>
            <w:vAlign w:val="bottom"/>
          </w:tcPr>
          <w:p w:rsidR="00DE3C87" w:rsidRPr="00EA769E" w:rsidRDefault="00DE3C87" w:rsidP="00C44DEB">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 w:val="22"/>
              </w:rPr>
            </w:pPr>
            <w:r w:rsidRPr="00EA769E">
              <w:rPr>
                <w:sz w:val="22"/>
              </w:rPr>
              <w:t>Benefit for income taxes</w:t>
            </w:r>
          </w:p>
        </w:tc>
        <w:tc>
          <w:tcPr>
            <w:tcW w:w="874" w:type="pct"/>
            <w:tcBorders>
              <w:top w:val="nil"/>
              <w:left w:val="nil"/>
              <w:bottom w:val="nil"/>
              <w:right w:val="nil"/>
            </w:tcBorders>
            <w:vAlign w:val="bottom"/>
          </w:tcPr>
          <w:p w:rsidR="00DE3C87" w:rsidRPr="002D6279" w:rsidRDefault="00AC1859" w:rsidP="00AC1859">
            <w:pPr>
              <w:widowControl/>
              <w:pBdr>
                <w:bottom w:val="single" w:sz="4" w:space="0" w:color="auto"/>
              </w:pBdr>
              <w:tabs>
                <w:tab w:val="left" w:pos="0"/>
                <w:tab w:val="left" w:pos="216"/>
                <w:tab w:val="left" w:pos="432"/>
                <w:tab w:val="left" w:pos="648"/>
                <w:tab w:val="left" w:pos="864"/>
                <w:tab w:val="left" w:pos="1080"/>
                <w:tab w:val="left" w:pos="1496"/>
                <w:tab w:val="left" w:pos="1728"/>
                <w:tab w:val="left" w:pos="1944"/>
              </w:tabs>
              <w:suppressAutoHyphens/>
              <w:spacing w:after="20"/>
              <w:ind w:right="-71"/>
              <w:jc w:val="right"/>
              <w:rPr>
                <w:sz w:val="22"/>
              </w:rPr>
            </w:pPr>
            <w:r>
              <w:rPr>
                <w:sz w:val="22"/>
              </w:rPr>
              <w:t xml:space="preserve">            </w:t>
            </w:r>
            <w:r w:rsidR="00DE3C87" w:rsidRPr="002D6279">
              <w:rPr>
                <w:sz w:val="22"/>
              </w:rPr>
              <w:t>(</w:t>
            </w:r>
            <w:r w:rsidR="002D6279" w:rsidRPr="002D6279">
              <w:rPr>
                <w:sz w:val="22"/>
              </w:rPr>
              <w:t>1</w:t>
            </w:r>
            <w:r w:rsidR="00DE3C87" w:rsidRPr="002D6279">
              <w:rPr>
                <w:sz w:val="22"/>
              </w:rPr>
              <w:t>,</w:t>
            </w:r>
            <w:r w:rsidR="002D6279" w:rsidRPr="002D6279">
              <w:rPr>
                <w:sz w:val="22"/>
              </w:rPr>
              <w:t>814</w:t>
            </w:r>
            <w:r w:rsidR="00DE3C87" w:rsidRPr="002D6279">
              <w:rPr>
                <w:sz w:val="22"/>
              </w:rPr>
              <w:t>)</w:t>
            </w:r>
          </w:p>
        </w:tc>
      </w:tr>
      <w:tr w:rsidR="00DE3C87" w:rsidRPr="0053635E" w:rsidTr="00EA769E">
        <w:trPr>
          <w:cantSplit/>
          <w:jc w:val="center"/>
        </w:trPr>
        <w:tc>
          <w:tcPr>
            <w:tcW w:w="2325" w:type="pct"/>
            <w:tcBorders>
              <w:top w:val="nil"/>
              <w:left w:val="nil"/>
              <w:bottom w:val="nil"/>
              <w:right w:val="nil"/>
            </w:tcBorders>
          </w:tcPr>
          <w:p w:rsidR="00DE3C87" w:rsidRPr="00EA769E" w:rsidRDefault="00DE3C87" w:rsidP="003D3CBD">
            <w:pPr>
              <w:widowControl/>
              <w:suppressAutoHyphens/>
              <w:ind w:left="200" w:hanging="200"/>
              <w:rPr>
                <w:sz w:val="22"/>
              </w:rPr>
            </w:pPr>
            <w:r w:rsidRPr="00EA769E">
              <w:rPr>
                <w:sz w:val="22"/>
              </w:rPr>
              <w:t>Net loss reclassified out of AOCI</w:t>
            </w:r>
          </w:p>
        </w:tc>
        <w:tc>
          <w:tcPr>
            <w:tcW w:w="1800" w:type="pct"/>
            <w:tcBorders>
              <w:top w:val="nil"/>
              <w:left w:val="nil"/>
              <w:bottom w:val="nil"/>
              <w:right w:val="nil"/>
            </w:tcBorders>
            <w:vAlign w:val="bottom"/>
          </w:tcPr>
          <w:p w:rsidR="00DE3C87" w:rsidRPr="00EA769E" w:rsidRDefault="00DE3C87" w:rsidP="003D3CB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874" w:type="pct"/>
            <w:tcBorders>
              <w:top w:val="nil"/>
              <w:left w:val="nil"/>
              <w:bottom w:val="nil"/>
              <w:right w:val="nil"/>
            </w:tcBorders>
            <w:vAlign w:val="bottom"/>
          </w:tcPr>
          <w:p w:rsidR="00DE3C87" w:rsidRPr="002D6279" w:rsidRDefault="00DE3C87" w:rsidP="002D627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u w:val="double"/>
              </w:rPr>
            </w:pPr>
            <w:r w:rsidRPr="002D6279">
              <w:rPr>
                <w:sz w:val="22"/>
                <w:u w:val="double"/>
              </w:rPr>
              <w:t xml:space="preserve">$             </w:t>
            </w:r>
            <w:r w:rsidR="002D6279" w:rsidRPr="002D6279">
              <w:rPr>
                <w:sz w:val="22"/>
                <w:u w:val="double"/>
              </w:rPr>
              <w:t>2</w:t>
            </w:r>
            <w:r w:rsidRPr="002D6279">
              <w:rPr>
                <w:sz w:val="22"/>
                <w:u w:val="double"/>
              </w:rPr>
              <w:t>,</w:t>
            </w:r>
            <w:r w:rsidR="002D6279" w:rsidRPr="002D6279">
              <w:rPr>
                <w:sz w:val="22"/>
                <w:u w:val="double"/>
              </w:rPr>
              <w:t>792</w:t>
            </w:r>
          </w:p>
        </w:tc>
      </w:tr>
      <w:tr w:rsidR="00DE3C87" w:rsidRPr="0053635E" w:rsidTr="00EA769E">
        <w:trPr>
          <w:cantSplit/>
          <w:jc w:val="center"/>
        </w:trPr>
        <w:tc>
          <w:tcPr>
            <w:tcW w:w="2325" w:type="pct"/>
            <w:tcBorders>
              <w:top w:val="nil"/>
              <w:left w:val="nil"/>
              <w:bottom w:val="nil"/>
              <w:right w:val="nil"/>
            </w:tcBorders>
          </w:tcPr>
          <w:p w:rsidR="00DE3C87" w:rsidRDefault="00DE3C87" w:rsidP="003D3CBD">
            <w:pPr>
              <w:widowControl/>
              <w:tabs>
                <w:tab w:val="right" w:leader="dot" w:pos="4060"/>
              </w:tabs>
              <w:suppressAutoHyphens/>
              <w:ind w:left="200" w:hanging="200"/>
              <w:rPr>
                <w:sz w:val="22"/>
              </w:rPr>
            </w:pPr>
          </w:p>
          <w:p w:rsidR="00AB0B12" w:rsidRDefault="00AB0B12" w:rsidP="003D3CBD">
            <w:pPr>
              <w:widowControl/>
              <w:tabs>
                <w:tab w:val="right" w:leader="dot" w:pos="4060"/>
              </w:tabs>
              <w:suppressAutoHyphens/>
              <w:ind w:left="200" w:hanging="200"/>
              <w:rPr>
                <w:sz w:val="22"/>
              </w:rPr>
            </w:pPr>
          </w:p>
          <w:p w:rsidR="00AB0B12" w:rsidRDefault="00AB0B12" w:rsidP="003D3CBD">
            <w:pPr>
              <w:widowControl/>
              <w:tabs>
                <w:tab w:val="right" w:leader="dot" w:pos="4060"/>
              </w:tabs>
              <w:suppressAutoHyphens/>
              <w:ind w:left="200" w:hanging="200"/>
              <w:rPr>
                <w:sz w:val="22"/>
              </w:rPr>
            </w:pPr>
          </w:p>
          <w:p w:rsidR="00AB0B12" w:rsidRPr="00EA769E" w:rsidRDefault="00AB0B12" w:rsidP="003D3CBD">
            <w:pPr>
              <w:widowControl/>
              <w:tabs>
                <w:tab w:val="right" w:leader="dot" w:pos="4060"/>
              </w:tabs>
              <w:suppressAutoHyphens/>
              <w:ind w:left="200" w:hanging="200"/>
              <w:rPr>
                <w:sz w:val="22"/>
              </w:rPr>
            </w:pPr>
          </w:p>
        </w:tc>
        <w:tc>
          <w:tcPr>
            <w:tcW w:w="1800" w:type="pct"/>
            <w:tcBorders>
              <w:top w:val="nil"/>
              <w:left w:val="nil"/>
              <w:bottom w:val="nil"/>
              <w:right w:val="nil"/>
            </w:tcBorders>
            <w:vAlign w:val="bottom"/>
          </w:tcPr>
          <w:p w:rsidR="00DE3C87" w:rsidRPr="00EA769E" w:rsidRDefault="00DE3C87" w:rsidP="003D3CB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874" w:type="pct"/>
            <w:tcBorders>
              <w:top w:val="nil"/>
              <w:left w:val="nil"/>
              <w:bottom w:val="nil"/>
              <w:right w:val="nil"/>
            </w:tcBorders>
            <w:vAlign w:val="bottom"/>
          </w:tcPr>
          <w:p w:rsidR="00DE3C87" w:rsidRPr="002D6279" w:rsidRDefault="00DE3C87" w:rsidP="003D3CB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bl>
    <w:p w:rsidR="00AB0B12" w:rsidRDefault="00AB0B12" w:rsidP="00EE2E7E">
      <w:pPr>
        <w:keepNext/>
        <w:keepLines/>
        <w:widowControl/>
        <w:tabs>
          <w:tab w:val="left" w:pos="-720"/>
          <w:tab w:val="left" w:pos="720"/>
          <w:tab w:val="left" w:pos="1440"/>
        </w:tabs>
        <w:suppressAutoHyphens/>
        <w:spacing w:after="240"/>
        <w:jc w:val="both"/>
        <w:rPr>
          <w:b/>
          <w:bCs/>
          <w:sz w:val="22"/>
        </w:rPr>
      </w:pPr>
      <w:r>
        <w:rPr>
          <w:b/>
          <w:bCs/>
          <w:sz w:val="22"/>
        </w:rPr>
        <w:lastRenderedPageBreak/>
        <w:t>10. Share-Based Payment</w:t>
      </w:r>
    </w:p>
    <w:p w:rsidR="006E4CC1" w:rsidRPr="00BA315A" w:rsidRDefault="004970F0" w:rsidP="00EE2E7E">
      <w:pPr>
        <w:keepNext/>
        <w:keepLines/>
        <w:widowControl/>
        <w:tabs>
          <w:tab w:val="left" w:pos="-720"/>
          <w:tab w:val="left" w:pos="720"/>
          <w:tab w:val="left" w:pos="1440"/>
        </w:tabs>
        <w:suppressAutoHyphens/>
        <w:spacing w:after="240"/>
        <w:jc w:val="both"/>
        <w:rPr>
          <w:bCs/>
          <w:sz w:val="22"/>
        </w:rPr>
      </w:pPr>
      <w:r>
        <w:rPr>
          <w:b/>
          <w:bCs/>
          <w:sz w:val="22"/>
        </w:rPr>
        <w:tab/>
      </w:r>
      <w:r w:rsidRPr="004970F0">
        <w:rPr>
          <w:bCs/>
          <w:sz w:val="22"/>
        </w:rPr>
        <w:t>A summary</w:t>
      </w:r>
      <w:r>
        <w:rPr>
          <w:bCs/>
          <w:sz w:val="22"/>
        </w:rPr>
        <w:t xml:space="preserve"> </w:t>
      </w:r>
      <w:r w:rsidR="006E4CC1" w:rsidRPr="00BA315A">
        <w:rPr>
          <w:bCs/>
          <w:sz w:val="22"/>
        </w:rPr>
        <w:t>of the restricted shares</w:t>
      </w:r>
      <w:r w:rsidR="00B31462" w:rsidRPr="00BA315A">
        <w:rPr>
          <w:bCs/>
          <w:sz w:val="22"/>
        </w:rPr>
        <w:t xml:space="preserve"> of SCT Chassis, Inc.</w:t>
      </w:r>
      <w:r w:rsidR="006E4CC1" w:rsidRPr="00BA315A">
        <w:rPr>
          <w:bCs/>
          <w:sz w:val="22"/>
        </w:rPr>
        <w:t xml:space="preserve"> under the Company’s </w:t>
      </w:r>
      <w:r w:rsidR="00431D93">
        <w:rPr>
          <w:bCs/>
          <w:sz w:val="22"/>
        </w:rPr>
        <w:t>share-based</w:t>
      </w:r>
      <w:r w:rsidR="006E4CC1" w:rsidRPr="00BA315A">
        <w:rPr>
          <w:bCs/>
          <w:sz w:val="22"/>
        </w:rPr>
        <w:t xml:space="preserve"> compensation plan is as follows</w:t>
      </w:r>
      <w:r w:rsidR="007412AE" w:rsidRPr="00BA315A">
        <w:rPr>
          <w:bCs/>
          <w:sz w:val="22"/>
        </w:rPr>
        <w:t>.  All amounts are in thousands except share and per share amounts.</w:t>
      </w:r>
    </w:p>
    <w:tbl>
      <w:tblPr>
        <w:tblW w:w="4118" w:type="pct"/>
        <w:jc w:val="center"/>
        <w:tblCellMar>
          <w:left w:w="72" w:type="dxa"/>
          <w:right w:w="72" w:type="dxa"/>
        </w:tblCellMar>
        <w:tblLook w:val="0000" w:firstRow="0" w:lastRow="0" w:firstColumn="0" w:lastColumn="0" w:noHBand="0" w:noVBand="0"/>
      </w:tblPr>
      <w:tblGrid>
        <w:gridCol w:w="4324"/>
        <w:gridCol w:w="43"/>
        <w:gridCol w:w="1120"/>
        <w:gridCol w:w="44"/>
        <w:gridCol w:w="1440"/>
        <w:gridCol w:w="44"/>
        <w:gridCol w:w="1361"/>
        <w:gridCol w:w="44"/>
      </w:tblGrid>
      <w:tr w:rsidR="00563C05" w:rsidRPr="0053635E" w:rsidTr="00FB55AE">
        <w:trPr>
          <w:gridAfter w:val="1"/>
          <w:wAfter w:w="26" w:type="pct"/>
          <w:cantSplit/>
          <w:jc w:val="center"/>
        </w:trPr>
        <w:tc>
          <w:tcPr>
            <w:tcW w:w="2568" w:type="pct"/>
            <w:tcBorders>
              <w:top w:val="nil"/>
              <w:left w:val="nil"/>
              <w:bottom w:val="nil"/>
              <w:right w:val="nil"/>
            </w:tcBorders>
            <w:vAlign w:val="bottom"/>
          </w:tcPr>
          <w:p w:rsidR="00CA14BE" w:rsidRPr="00BA315A"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22"/>
              </w:rPr>
            </w:pPr>
            <w:r w:rsidRPr="00BA315A">
              <w:rPr>
                <w:b/>
                <w:bCs/>
                <w:sz w:val="22"/>
              </w:rPr>
              <w:t>Non</w:t>
            </w:r>
            <w:r w:rsidR="00744A72" w:rsidRPr="00BA315A">
              <w:rPr>
                <w:b/>
                <w:bCs/>
                <w:sz w:val="22"/>
              </w:rPr>
              <w:t>-</w:t>
            </w:r>
            <w:r w:rsidRPr="00BA315A">
              <w:rPr>
                <w:b/>
                <w:bCs/>
                <w:sz w:val="22"/>
              </w:rPr>
              <w:t>vested Shares</w:t>
            </w:r>
          </w:p>
        </w:tc>
        <w:tc>
          <w:tcPr>
            <w:tcW w:w="691" w:type="pct"/>
            <w:gridSpan w:val="2"/>
            <w:tcBorders>
              <w:top w:val="nil"/>
              <w:left w:val="nil"/>
              <w:bottom w:val="nil"/>
              <w:right w:val="nil"/>
            </w:tcBorders>
            <w:vAlign w:val="bottom"/>
          </w:tcPr>
          <w:p w:rsidR="00CA14BE" w:rsidRPr="00BA315A"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BA315A">
              <w:rPr>
                <w:b/>
                <w:bCs/>
                <w:sz w:val="22"/>
              </w:rPr>
              <w:t>Shares</w:t>
            </w:r>
          </w:p>
        </w:tc>
        <w:tc>
          <w:tcPr>
            <w:tcW w:w="881" w:type="pct"/>
            <w:gridSpan w:val="2"/>
            <w:tcBorders>
              <w:top w:val="nil"/>
              <w:left w:val="nil"/>
              <w:bottom w:val="nil"/>
              <w:right w:val="nil"/>
            </w:tcBorders>
            <w:vAlign w:val="bottom"/>
          </w:tcPr>
          <w:p w:rsidR="00CA14BE" w:rsidRPr="00BA315A" w:rsidRDefault="00CA14BE" w:rsidP="00563C0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BA315A">
              <w:rPr>
                <w:b/>
                <w:bCs/>
                <w:sz w:val="22"/>
              </w:rPr>
              <w:t>Weighted</w:t>
            </w:r>
            <w:r w:rsidRPr="00BA315A">
              <w:rPr>
                <w:b/>
                <w:bCs/>
                <w:sz w:val="22"/>
              </w:rPr>
              <w:noBreakHyphen/>
            </w:r>
            <w:r w:rsidR="00744A72" w:rsidRPr="00BA315A">
              <w:rPr>
                <w:b/>
                <w:bCs/>
                <w:sz w:val="22"/>
              </w:rPr>
              <w:br/>
            </w:r>
            <w:r w:rsidRPr="00BA315A">
              <w:rPr>
                <w:b/>
                <w:bCs/>
                <w:sz w:val="22"/>
              </w:rPr>
              <w:t>Average</w:t>
            </w:r>
            <w:r w:rsidR="00744A72" w:rsidRPr="00BA315A">
              <w:rPr>
                <w:b/>
                <w:bCs/>
                <w:sz w:val="22"/>
              </w:rPr>
              <w:br/>
            </w:r>
            <w:r w:rsidRPr="00BA315A">
              <w:rPr>
                <w:b/>
                <w:bCs/>
                <w:sz w:val="22"/>
              </w:rPr>
              <w:t>Grant Date</w:t>
            </w:r>
            <w:r w:rsidR="00744A72" w:rsidRPr="00BA315A">
              <w:rPr>
                <w:b/>
                <w:bCs/>
                <w:sz w:val="22"/>
              </w:rPr>
              <w:br/>
            </w:r>
            <w:r w:rsidRPr="00BA315A">
              <w:rPr>
                <w:b/>
                <w:bCs/>
                <w:sz w:val="22"/>
              </w:rPr>
              <w:t>Fair Value</w:t>
            </w:r>
            <w:r w:rsidR="00563C05" w:rsidRPr="00BA315A">
              <w:rPr>
                <w:b/>
                <w:bCs/>
                <w:sz w:val="22"/>
              </w:rPr>
              <w:t xml:space="preserve">   </w:t>
            </w:r>
            <w:r w:rsidRPr="00BA315A">
              <w:rPr>
                <w:b/>
                <w:bCs/>
                <w:sz w:val="22"/>
              </w:rPr>
              <w:t xml:space="preserve"> per</w:t>
            </w:r>
            <w:r w:rsidR="00563C05" w:rsidRPr="00BA315A">
              <w:rPr>
                <w:b/>
                <w:bCs/>
                <w:sz w:val="22"/>
              </w:rPr>
              <w:t xml:space="preserve"> </w:t>
            </w:r>
            <w:r w:rsidRPr="00BA315A">
              <w:rPr>
                <w:b/>
                <w:bCs/>
                <w:sz w:val="22"/>
              </w:rPr>
              <w:t>share</w:t>
            </w:r>
          </w:p>
        </w:tc>
        <w:tc>
          <w:tcPr>
            <w:tcW w:w="834" w:type="pct"/>
            <w:gridSpan w:val="2"/>
            <w:tcBorders>
              <w:top w:val="nil"/>
              <w:left w:val="nil"/>
              <w:bottom w:val="nil"/>
              <w:right w:val="nil"/>
            </w:tcBorders>
            <w:vAlign w:val="bottom"/>
          </w:tcPr>
          <w:p w:rsidR="00CA14BE" w:rsidRPr="00BA315A" w:rsidRDefault="00CA14BE" w:rsidP="00563C0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BA315A">
              <w:rPr>
                <w:b/>
                <w:bCs/>
                <w:sz w:val="22"/>
              </w:rPr>
              <w:t>Fair Value</w:t>
            </w:r>
            <w:r w:rsidR="00563C05" w:rsidRPr="00BA315A">
              <w:rPr>
                <w:b/>
                <w:bCs/>
                <w:sz w:val="22"/>
              </w:rPr>
              <w:t xml:space="preserve">    </w:t>
            </w:r>
            <w:r w:rsidRPr="00BA315A">
              <w:rPr>
                <w:b/>
                <w:bCs/>
                <w:sz w:val="22"/>
              </w:rPr>
              <w:t xml:space="preserve"> of</w:t>
            </w:r>
            <w:r w:rsidR="00563C05" w:rsidRPr="00BA315A">
              <w:rPr>
                <w:b/>
                <w:bCs/>
                <w:sz w:val="22"/>
              </w:rPr>
              <w:t xml:space="preserve"> </w:t>
            </w:r>
            <w:r w:rsidRPr="00BA315A">
              <w:rPr>
                <w:b/>
                <w:bCs/>
                <w:sz w:val="22"/>
              </w:rPr>
              <w:t>Shares</w:t>
            </w:r>
            <w:r w:rsidR="00563C05" w:rsidRPr="00BA315A">
              <w:rPr>
                <w:b/>
                <w:bCs/>
                <w:sz w:val="22"/>
              </w:rPr>
              <w:t xml:space="preserve">      </w:t>
            </w:r>
            <w:r w:rsidRPr="00BA315A">
              <w:rPr>
                <w:b/>
                <w:bCs/>
                <w:sz w:val="22"/>
              </w:rPr>
              <w:t xml:space="preserve"> at</w:t>
            </w:r>
            <w:r w:rsidR="00563C05" w:rsidRPr="00BA315A">
              <w:rPr>
                <w:b/>
                <w:bCs/>
                <w:sz w:val="22"/>
              </w:rPr>
              <w:t xml:space="preserve"> </w:t>
            </w:r>
            <w:r w:rsidRPr="00BA315A">
              <w:rPr>
                <w:b/>
                <w:bCs/>
                <w:sz w:val="22"/>
              </w:rPr>
              <w:t>Grant</w:t>
            </w:r>
            <w:r w:rsidR="00563C05" w:rsidRPr="00BA315A">
              <w:rPr>
                <w:b/>
                <w:bCs/>
                <w:sz w:val="22"/>
              </w:rPr>
              <w:t xml:space="preserve"> </w:t>
            </w:r>
            <w:r w:rsidRPr="00BA315A">
              <w:rPr>
                <w:b/>
                <w:bCs/>
                <w:sz w:val="22"/>
              </w:rPr>
              <w:t xml:space="preserve"> Date</w:t>
            </w:r>
          </w:p>
        </w:tc>
      </w:tr>
      <w:tr w:rsidR="00563C05" w:rsidRPr="0053635E" w:rsidTr="00FB55AE">
        <w:trPr>
          <w:gridAfter w:val="1"/>
          <w:wAfter w:w="26" w:type="pct"/>
          <w:cantSplit/>
          <w:jc w:val="center"/>
        </w:trPr>
        <w:tc>
          <w:tcPr>
            <w:tcW w:w="2568" w:type="pct"/>
            <w:tcBorders>
              <w:top w:val="nil"/>
              <w:left w:val="nil"/>
              <w:bottom w:val="nil"/>
              <w:right w:val="nil"/>
            </w:tcBorders>
          </w:tcPr>
          <w:p w:rsidR="00CA14BE" w:rsidRPr="00BA315A" w:rsidRDefault="00CA14BE" w:rsidP="00BA315A">
            <w:pPr>
              <w:widowControl/>
              <w:suppressAutoHyphens/>
              <w:ind w:left="200" w:hanging="200"/>
              <w:rPr>
                <w:sz w:val="22"/>
              </w:rPr>
            </w:pPr>
            <w:r w:rsidRPr="00BA315A">
              <w:rPr>
                <w:sz w:val="22"/>
              </w:rPr>
              <w:t>Non</w:t>
            </w:r>
            <w:r w:rsidR="00744A72" w:rsidRPr="00BA315A">
              <w:rPr>
                <w:sz w:val="22"/>
              </w:rPr>
              <w:t>-</w:t>
            </w:r>
            <w:r w:rsidRPr="00BA315A">
              <w:rPr>
                <w:sz w:val="22"/>
              </w:rPr>
              <w:t>vested at January 1, 201</w:t>
            </w:r>
            <w:r w:rsidR="00BA315A" w:rsidRPr="00BA315A">
              <w:rPr>
                <w:sz w:val="22"/>
              </w:rPr>
              <w:t>4</w:t>
            </w:r>
            <w:r w:rsidRPr="00BA315A">
              <w:rPr>
                <w:sz w:val="22"/>
              </w:rPr>
              <w:tab/>
            </w:r>
          </w:p>
        </w:tc>
        <w:tc>
          <w:tcPr>
            <w:tcW w:w="691" w:type="pct"/>
            <w:gridSpan w:val="2"/>
            <w:tcBorders>
              <w:top w:val="nil"/>
              <w:left w:val="nil"/>
              <w:bottom w:val="nil"/>
              <w:right w:val="nil"/>
            </w:tcBorders>
            <w:vAlign w:val="bottom"/>
          </w:tcPr>
          <w:p w:rsidR="00CA14BE" w:rsidRPr="00BA315A" w:rsidRDefault="00BA315A" w:rsidP="00BA315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BA315A">
              <w:rPr>
                <w:sz w:val="22"/>
              </w:rPr>
              <w:t>352</w:t>
            </w:r>
            <w:r w:rsidR="006E4CC1" w:rsidRPr="00BA315A">
              <w:rPr>
                <w:sz w:val="22"/>
              </w:rPr>
              <w:t>,</w:t>
            </w:r>
            <w:r w:rsidRPr="00BA315A">
              <w:rPr>
                <w:sz w:val="22"/>
              </w:rPr>
              <w:t>443</w:t>
            </w:r>
          </w:p>
        </w:tc>
        <w:tc>
          <w:tcPr>
            <w:tcW w:w="881" w:type="pct"/>
            <w:gridSpan w:val="2"/>
            <w:tcBorders>
              <w:top w:val="nil"/>
              <w:left w:val="nil"/>
              <w:bottom w:val="nil"/>
              <w:right w:val="nil"/>
            </w:tcBorders>
            <w:vAlign w:val="bottom"/>
          </w:tcPr>
          <w:p w:rsidR="00CA14BE" w:rsidRPr="00BA315A" w:rsidRDefault="006E4CC1" w:rsidP="00BA315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BA315A">
              <w:rPr>
                <w:sz w:val="22"/>
              </w:rPr>
              <w:t xml:space="preserve">$  </w:t>
            </w:r>
            <w:r w:rsidR="00563C05" w:rsidRPr="00BA315A">
              <w:rPr>
                <w:sz w:val="22"/>
              </w:rPr>
              <w:t xml:space="preserve">          </w:t>
            </w:r>
            <w:r w:rsidRPr="00BA315A">
              <w:rPr>
                <w:sz w:val="22"/>
              </w:rPr>
              <w:t xml:space="preserve">   6.</w:t>
            </w:r>
            <w:r w:rsidR="00BA315A" w:rsidRPr="00BA315A">
              <w:rPr>
                <w:sz w:val="22"/>
              </w:rPr>
              <w:t>61</w:t>
            </w:r>
          </w:p>
        </w:tc>
        <w:tc>
          <w:tcPr>
            <w:tcW w:w="834" w:type="pct"/>
            <w:gridSpan w:val="2"/>
            <w:tcBorders>
              <w:top w:val="nil"/>
              <w:left w:val="nil"/>
              <w:bottom w:val="nil"/>
              <w:right w:val="nil"/>
            </w:tcBorders>
            <w:vAlign w:val="bottom"/>
          </w:tcPr>
          <w:p w:rsidR="00CA14BE" w:rsidRPr="00BA315A" w:rsidRDefault="006E4CC1" w:rsidP="00BA315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BA315A">
              <w:rPr>
                <w:sz w:val="22"/>
              </w:rPr>
              <w:t>$</w:t>
            </w:r>
            <w:r w:rsidR="00563C05" w:rsidRPr="00BA315A">
              <w:rPr>
                <w:sz w:val="22"/>
              </w:rPr>
              <w:t xml:space="preserve">           </w:t>
            </w:r>
            <w:r w:rsidRPr="00BA315A">
              <w:rPr>
                <w:sz w:val="22"/>
              </w:rPr>
              <w:t>2,</w:t>
            </w:r>
            <w:r w:rsidR="00BA315A" w:rsidRPr="00BA315A">
              <w:rPr>
                <w:sz w:val="22"/>
              </w:rPr>
              <w:t>328</w:t>
            </w:r>
          </w:p>
        </w:tc>
      </w:tr>
      <w:tr w:rsidR="00563C05" w:rsidRPr="0053635E" w:rsidTr="00FB55AE">
        <w:trPr>
          <w:gridAfter w:val="1"/>
          <w:wAfter w:w="26" w:type="pct"/>
          <w:cantSplit/>
          <w:jc w:val="center"/>
        </w:trPr>
        <w:tc>
          <w:tcPr>
            <w:tcW w:w="2568" w:type="pct"/>
            <w:tcBorders>
              <w:top w:val="nil"/>
              <w:left w:val="nil"/>
              <w:bottom w:val="nil"/>
              <w:right w:val="nil"/>
            </w:tcBorders>
          </w:tcPr>
          <w:p w:rsidR="00CA14BE" w:rsidRPr="00634871" w:rsidRDefault="00CA14BE" w:rsidP="00C2439D">
            <w:pPr>
              <w:widowControl/>
              <w:suppressAutoHyphens/>
              <w:ind w:left="400" w:hanging="200"/>
              <w:rPr>
                <w:sz w:val="22"/>
              </w:rPr>
            </w:pPr>
            <w:r w:rsidRPr="00634871">
              <w:rPr>
                <w:sz w:val="22"/>
              </w:rPr>
              <w:t>Granted</w:t>
            </w:r>
            <w:r w:rsidRPr="00634871">
              <w:rPr>
                <w:sz w:val="22"/>
              </w:rPr>
              <w:tab/>
            </w:r>
          </w:p>
        </w:tc>
        <w:tc>
          <w:tcPr>
            <w:tcW w:w="691" w:type="pct"/>
            <w:gridSpan w:val="2"/>
            <w:tcBorders>
              <w:top w:val="nil"/>
              <w:left w:val="nil"/>
              <w:bottom w:val="nil"/>
              <w:right w:val="nil"/>
            </w:tcBorders>
            <w:vAlign w:val="bottom"/>
          </w:tcPr>
          <w:p w:rsidR="00CA14BE" w:rsidRPr="0053635E" w:rsidRDefault="00634871" w:rsidP="0046339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r w:rsidRPr="007D313C">
              <w:rPr>
                <w:sz w:val="18"/>
                <w:szCs w:val="18"/>
              </w:rPr>
              <w:t>—</w:t>
            </w:r>
          </w:p>
        </w:tc>
        <w:tc>
          <w:tcPr>
            <w:tcW w:w="881" w:type="pct"/>
            <w:gridSpan w:val="2"/>
            <w:tcBorders>
              <w:top w:val="nil"/>
              <w:left w:val="nil"/>
              <w:bottom w:val="nil"/>
              <w:right w:val="nil"/>
            </w:tcBorders>
            <w:vAlign w:val="bottom"/>
          </w:tcPr>
          <w:p w:rsidR="00CA14BE" w:rsidRPr="0053635E" w:rsidRDefault="00634871" w:rsidP="0046339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r w:rsidRPr="007D313C">
              <w:rPr>
                <w:sz w:val="18"/>
                <w:szCs w:val="18"/>
              </w:rPr>
              <w:t>—</w:t>
            </w:r>
          </w:p>
        </w:tc>
        <w:tc>
          <w:tcPr>
            <w:tcW w:w="834" w:type="pct"/>
            <w:gridSpan w:val="2"/>
            <w:tcBorders>
              <w:top w:val="nil"/>
              <w:left w:val="nil"/>
              <w:bottom w:val="nil"/>
              <w:right w:val="nil"/>
            </w:tcBorders>
            <w:vAlign w:val="bottom"/>
          </w:tcPr>
          <w:p w:rsidR="00CA14BE" w:rsidRPr="0053635E" w:rsidRDefault="00634871" w:rsidP="0046339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r w:rsidRPr="007D313C">
              <w:rPr>
                <w:sz w:val="18"/>
                <w:szCs w:val="18"/>
              </w:rPr>
              <w:t>—</w:t>
            </w:r>
          </w:p>
        </w:tc>
      </w:tr>
      <w:tr w:rsidR="00563C05" w:rsidRPr="00634871" w:rsidTr="00FB55AE">
        <w:trPr>
          <w:gridAfter w:val="1"/>
          <w:wAfter w:w="26" w:type="pct"/>
          <w:cantSplit/>
          <w:jc w:val="center"/>
        </w:trPr>
        <w:tc>
          <w:tcPr>
            <w:tcW w:w="2568" w:type="pct"/>
            <w:tcBorders>
              <w:top w:val="nil"/>
              <w:left w:val="nil"/>
              <w:bottom w:val="nil"/>
              <w:right w:val="nil"/>
            </w:tcBorders>
          </w:tcPr>
          <w:p w:rsidR="00CA14BE" w:rsidRPr="00634871" w:rsidRDefault="00CA14BE" w:rsidP="00C2439D">
            <w:pPr>
              <w:widowControl/>
              <w:suppressAutoHyphens/>
              <w:ind w:left="400" w:hanging="200"/>
              <w:rPr>
                <w:sz w:val="22"/>
              </w:rPr>
            </w:pPr>
            <w:r w:rsidRPr="00634871">
              <w:rPr>
                <w:sz w:val="22"/>
              </w:rPr>
              <w:t>Forfeited</w:t>
            </w:r>
            <w:r w:rsidRPr="00634871">
              <w:rPr>
                <w:sz w:val="22"/>
              </w:rPr>
              <w:tab/>
            </w:r>
          </w:p>
        </w:tc>
        <w:tc>
          <w:tcPr>
            <w:tcW w:w="691" w:type="pct"/>
            <w:gridSpan w:val="2"/>
            <w:tcBorders>
              <w:top w:val="nil"/>
              <w:left w:val="nil"/>
              <w:bottom w:val="nil"/>
              <w:right w:val="nil"/>
            </w:tcBorders>
            <w:vAlign w:val="bottom"/>
          </w:tcPr>
          <w:p w:rsidR="00CA14BE" w:rsidRPr="00634871" w:rsidRDefault="00D20CDD" w:rsidP="006348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4871">
              <w:rPr>
                <w:sz w:val="22"/>
              </w:rPr>
              <w:t>(1</w:t>
            </w:r>
            <w:r w:rsidR="00634871" w:rsidRPr="00634871">
              <w:rPr>
                <w:sz w:val="22"/>
              </w:rPr>
              <w:t>0</w:t>
            </w:r>
            <w:r w:rsidRPr="00634871">
              <w:rPr>
                <w:sz w:val="22"/>
              </w:rPr>
              <w:t>,</w:t>
            </w:r>
            <w:r w:rsidR="00634871" w:rsidRPr="00634871">
              <w:rPr>
                <w:sz w:val="22"/>
              </w:rPr>
              <w:t>000</w:t>
            </w:r>
            <w:r w:rsidRPr="00634871">
              <w:rPr>
                <w:sz w:val="22"/>
              </w:rPr>
              <w:t>)</w:t>
            </w:r>
          </w:p>
        </w:tc>
        <w:tc>
          <w:tcPr>
            <w:tcW w:w="881" w:type="pct"/>
            <w:gridSpan w:val="2"/>
            <w:tcBorders>
              <w:top w:val="nil"/>
              <w:left w:val="nil"/>
              <w:bottom w:val="nil"/>
              <w:right w:val="nil"/>
            </w:tcBorders>
            <w:vAlign w:val="bottom"/>
          </w:tcPr>
          <w:p w:rsidR="00CA14BE" w:rsidRPr="00634871" w:rsidRDefault="00D20CDD" w:rsidP="00D20CD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4871">
              <w:rPr>
                <w:sz w:val="22"/>
              </w:rPr>
              <w:t>6.17</w:t>
            </w:r>
          </w:p>
        </w:tc>
        <w:tc>
          <w:tcPr>
            <w:tcW w:w="834" w:type="pct"/>
            <w:gridSpan w:val="2"/>
            <w:tcBorders>
              <w:top w:val="nil"/>
              <w:left w:val="nil"/>
              <w:bottom w:val="nil"/>
              <w:right w:val="nil"/>
            </w:tcBorders>
            <w:vAlign w:val="bottom"/>
          </w:tcPr>
          <w:p w:rsidR="00CA14BE" w:rsidRPr="00634871" w:rsidRDefault="00D20CDD" w:rsidP="006348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4871">
              <w:rPr>
                <w:sz w:val="22"/>
              </w:rPr>
              <w:t>(</w:t>
            </w:r>
            <w:r w:rsidR="00634871" w:rsidRPr="00634871">
              <w:rPr>
                <w:sz w:val="22"/>
              </w:rPr>
              <w:t>62</w:t>
            </w:r>
            <w:r w:rsidRPr="00634871">
              <w:rPr>
                <w:sz w:val="22"/>
              </w:rPr>
              <w:t>)</w:t>
            </w:r>
          </w:p>
        </w:tc>
      </w:tr>
      <w:tr w:rsidR="00563C05" w:rsidRPr="00634871" w:rsidTr="00FB55AE">
        <w:trPr>
          <w:cantSplit/>
          <w:jc w:val="center"/>
        </w:trPr>
        <w:tc>
          <w:tcPr>
            <w:tcW w:w="2594" w:type="pct"/>
            <w:gridSpan w:val="2"/>
            <w:tcBorders>
              <w:top w:val="nil"/>
              <w:left w:val="nil"/>
              <w:bottom w:val="nil"/>
              <w:right w:val="nil"/>
            </w:tcBorders>
          </w:tcPr>
          <w:p w:rsidR="00CA14BE" w:rsidRPr="00634871" w:rsidRDefault="00CA14BE" w:rsidP="00C2439D">
            <w:pPr>
              <w:widowControl/>
              <w:suppressAutoHyphens/>
              <w:spacing w:after="20"/>
              <w:ind w:left="400" w:hanging="200"/>
              <w:rPr>
                <w:sz w:val="22"/>
              </w:rPr>
            </w:pPr>
            <w:r w:rsidRPr="00634871">
              <w:rPr>
                <w:sz w:val="22"/>
              </w:rPr>
              <w:t>Vested</w:t>
            </w:r>
            <w:r w:rsidRPr="00634871">
              <w:rPr>
                <w:sz w:val="22"/>
              </w:rPr>
              <w:tab/>
            </w:r>
          </w:p>
        </w:tc>
        <w:tc>
          <w:tcPr>
            <w:tcW w:w="691" w:type="pct"/>
            <w:gridSpan w:val="2"/>
            <w:tcBorders>
              <w:top w:val="nil"/>
              <w:left w:val="nil"/>
              <w:bottom w:val="nil"/>
              <w:right w:val="nil"/>
            </w:tcBorders>
            <w:vAlign w:val="bottom"/>
          </w:tcPr>
          <w:p w:rsidR="00CA14BE" w:rsidRPr="00634871" w:rsidRDefault="00CA14BE" w:rsidP="006348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34871">
              <w:rPr>
                <w:sz w:val="22"/>
              </w:rPr>
              <w:t>(1</w:t>
            </w:r>
            <w:r w:rsidR="00634871" w:rsidRPr="00634871">
              <w:rPr>
                <w:sz w:val="22"/>
              </w:rPr>
              <w:t>38</w:t>
            </w:r>
            <w:r w:rsidRPr="00634871">
              <w:rPr>
                <w:sz w:val="22"/>
              </w:rPr>
              <w:t>,</w:t>
            </w:r>
            <w:r w:rsidR="00634871" w:rsidRPr="00634871">
              <w:rPr>
                <w:sz w:val="22"/>
              </w:rPr>
              <w:t>956</w:t>
            </w:r>
            <w:r w:rsidRPr="00634871">
              <w:rPr>
                <w:sz w:val="22"/>
              </w:rPr>
              <w:t>)</w:t>
            </w:r>
          </w:p>
        </w:tc>
        <w:tc>
          <w:tcPr>
            <w:tcW w:w="881" w:type="pct"/>
            <w:gridSpan w:val="2"/>
            <w:tcBorders>
              <w:top w:val="nil"/>
              <w:left w:val="nil"/>
              <w:bottom w:val="nil"/>
              <w:right w:val="nil"/>
            </w:tcBorders>
            <w:vAlign w:val="bottom"/>
          </w:tcPr>
          <w:p w:rsidR="00CA14BE" w:rsidRPr="00634871" w:rsidRDefault="00CA14BE" w:rsidP="006348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34871">
              <w:rPr>
                <w:sz w:val="22"/>
              </w:rPr>
              <w:t>6.</w:t>
            </w:r>
            <w:r w:rsidR="00634871" w:rsidRPr="00634871">
              <w:rPr>
                <w:sz w:val="22"/>
              </w:rPr>
              <w:t>58</w:t>
            </w:r>
          </w:p>
        </w:tc>
        <w:tc>
          <w:tcPr>
            <w:tcW w:w="834" w:type="pct"/>
            <w:gridSpan w:val="2"/>
            <w:tcBorders>
              <w:top w:val="nil"/>
              <w:left w:val="nil"/>
              <w:bottom w:val="nil"/>
              <w:right w:val="nil"/>
            </w:tcBorders>
            <w:vAlign w:val="bottom"/>
          </w:tcPr>
          <w:p w:rsidR="00CA14BE" w:rsidRPr="00634871" w:rsidRDefault="00CA14BE" w:rsidP="006348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34871">
              <w:rPr>
                <w:sz w:val="22"/>
              </w:rPr>
              <w:t>(</w:t>
            </w:r>
            <w:r w:rsidR="00622A11" w:rsidRPr="00634871">
              <w:rPr>
                <w:sz w:val="22"/>
              </w:rPr>
              <w:t>9</w:t>
            </w:r>
            <w:r w:rsidR="00634871" w:rsidRPr="00634871">
              <w:rPr>
                <w:sz w:val="22"/>
              </w:rPr>
              <w:t>14</w:t>
            </w:r>
            <w:r w:rsidRPr="00634871">
              <w:rPr>
                <w:sz w:val="22"/>
              </w:rPr>
              <w:t>)</w:t>
            </w:r>
          </w:p>
        </w:tc>
      </w:tr>
      <w:tr w:rsidR="00563C05" w:rsidRPr="00634871" w:rsidTr="00FB55AE">
        <w:trPr>
          <w:gridAfter w:val="1"/>
          <w:wAfter w:w="26" w:type="pct"/>
          <w:cantSplit/>
          <w:jc w:val="center"/>
        </w:trPr>
        <w:tc>
          <w:tcPr>
            <w:tcW w:w="2568" w:type="pct"/>
            <w:tcBorders>
              <w:top w:val="nil"/>
              <w:left w:val="nil"/>
              <w:bottom w:val="nil"/>
              <w:right w:val="nil"/>
            </w:tcBorders>
          </w:tcPr>
          <w:p w:rsidR="00CA14BE" w:rsidRPr="00634871" w:rsidRDefault="00CA14BE" w:rsidP="00372EBC">
            <w:pPr>
              <w:widowControl/>
              <w:suppressAutoHyphens/>
              <w:ind w:left="200" w:hanging="200"/>
              <w:rPr>
                <w:sz w:val="22"/>
              </w:rPr>
            </w:pPr>
            <w:r w:rsidRPr="00634871">
              <w:rPr>
                <w:sz w:val="22"/>
              </w:rPr>
              <w:t>Non</w:t>
            </w:r>
            <w:r w:rsidR="00744A72" w:rsidRPr="00634871">
              <w:rPr>
                <w:sz w:val="22"/>
              </w:rPr>
              <w:t>-</w:t>
            </w:r>
            <w:r w:rsidR="00CB3C3C" w:rsidRPr="00634871">
              <w:rPr>
                <w:sz w:val="22"/>
              </w:rPr>
              <w:t xml:space="preserve">vested at </w:t>
            </w:r>
            <w:r w:rsidR="00372EBC" w:rsidRPr="00634871">
              <w:rPr>
                <w:sz w:val="22"/>
              </w:rPr>
              <w:t>March</w:t>
            </w:r>
            <w:r w:rsidRPr="00634871">
              <w:rPr>
                <w:sz w:val="22"/>
              </w:rPr>
              <w:t> 3</w:t>
            </w:r>
            <w:r w:rsidR="00372EBC" w:rsidRPr="00634871">
              <w:rPr>
                <w:sz w:val="22"/>
              </w:rPr>
              <w:t>1</w:t>
            </w:r>
            <w:r w:rsidRPr="00634871">
              <w:rPr>
                <w:sz w:val="22"/>
              </w:rPr>
              <w:t>, 201</w:t>
            </w:r>
            <w:r w:rsidR="00372EBC" w:rsidRPr="00634871">
              <w:rPr>
                <w:sz w:val="22"/>
              </w:rPr>
              <w:t>4</w:t>
            </w:r>
            <w:r w:rsidRPr="00634871">
              <w:rPr>
                <w:sz w:val="22"/>
              </w:rPr>
              <w:tab/>
            </w:r>
          </w:p>
        </w:tc>
        <w:tc>
          <w:tcPr>
            <w:tcW w:w="691" w:type="pct"/>
            <w:gridSpan w:val="2"/>
            <w:tcBorders>
              <w:top w:val="nil"/>
              <w:left w:val="nil"/>
              <w:bottom w:val="nil"/>
              <w:right w:val="nil"/>
            </w:tcBorders>
            <w:vAlign w:val="bottom"/>
          </w:tcPr>
          <w:p w:rsidR="00CA14BE" w:rsidRPr="00634871" w:rsidRDefault="002C3011" w:rsidP="00FB55AE">
            <w:pPr>
              <w:widowControl/>
              <w:tabs>
                <w:tab w:val="left" w:pos="-118"/>
                <w:tab w:val="left" w:pos="216"/>
                <w:tab w:val="left" w:pos="432"/>
                <w:tab w:val="left" w:pos="648"/>
                <w:tab w:val="left" w:pos="864"/>
                <w:tab w:val="left" w:pos="1080"/>
                <w:tab w:val="left" w:pos="1296"/>
                <w:tab w:val="left" w:pos="1512"/>
                <w:tab w:val="left" w:pos="1728"/>
                <w:tab w:val="left" w:pos="1944"/>
              </w:tabs>
              <w:suppressAutoHyphens/>
              <w:ind w:left="-28"/>
              <w:jc w:val="right"/>
              <w:rPr>
                <w:sz w:val="22"/>
                <w:u w:val="double"/>
              </w:rPr>
            </w:pPr>
            <w:r w:rsidRPr="00634871">
              <w:rPr>
                <w:sz w:val="22"/>
                <w:u w:val="double"/>
              </w:rPr>
              <w:t xml:space="preserve">     </w:t>
            </w:r>
            <w:r w:rsidR="00634871" w:rsidRPr="00634871">
              <w:rPr>
                <w:sz w:val="22"/>
                <w:u w:val="double"/>
              </w:rPr>
              <w:t>203</w:t>
            </w:r>
            <w:r w:rsidR="00CA14BE" w:rsidRPr="00634871">
              <w:rPr>
                <w:sz w:val="22"/>
                <w:u w:val="double"/>
              </w:rPr>
              <w:t>,</w:t>
            </w:r>
            <w:r w:rsidR="00634871" w:rsidRPr="00634871">
              <w:rPr>
                <w:sz w:val="22"/>
                <w:u w:val="double"/>
              </w:rPr>
              <w:t>487</w:t>
            </w:r>
          </w:p>
        </w:tc>
        <w:tc>
          <w:tcPr>
            <w:tcW w:w="881" w:type="pct"/>
            <w:gridSpan w:val="2"/>
            <w:tcBorders>
              <w:top w:val="nil"/>
              <w:left w:val="nil"/>
              <w:bottom w:val="nil"/>
              <w:right w:val="nil"/>
            </w:tcBorders>
            <w:vAlign w:val="bottom"/>
          </w:tcPr>
          <w:p w:rsidR="00CA14BE" w:rsidRPr="00634871" w:rsidRDefault="00563C05" w:rsidP="006348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u w:val="double"/>
              </w:rPr>
            </w:pPr>
            <w:r w:rsidRPr="00634871">
              <w:rPr>
                <w:sz w:val="22"/>
                <w:u w:val="double"/>
              </w:rPr>
              <w:t xml:space="preserve">$               </w:t>
            </w:r>
            <w:r w:rsidR="00CA14BE" w:rsidRPr="00634871">
              <w:rPr>
                <w:sz w:val="22"/>
                <w:u w:val="double"/>
              </w:rPr>
              <w:t>6.</w:t>
            </w:r>
            <w:r w:rsidR="00634871" w:rsidRPr="00634871">
              <w:rPr>
                <w:sz w:val="22"/>
                <w:u w:val="double"/>
              </w:rPr>
              <w:t>65</w:t>
            </w:r>
          </w:p>
        </w:tc>
        <w:tc>
          <w:tcPr>
            <w:tcW w:w="834" w:type="pct"/>
            <w:gridSpan w:val="2"/>
            <w:tcBorders>
              <w:top w:val="nil"/>
              <w:left w:val="nil"/>
              <w:bottom w:val="nil"/>
              <w:right w:val="nil"/>
            </w:tcBorders>
            <w:vAlign w:val="bottom"/>
          </w:tcPr>
          <w:p w:rsidR="00CA14BE" w:rsidRPr="00634871" w:rsidRDefault="00CA14BE" w:rsidP="00634871">
            <w:pPr>
              <w:widowControl/>
              <w:tabs>
                <w:tab w:val="left" w:pos="-188"/>
                <w:tab w:val="left" w:pos="216"/>
                <w:tab w:val="left" w:pos="432"/>
                <w:tab w:val="left" w:pos="648"/>
                <w:tab w:val="left" w:pos="864"/>
                <w:tab w:val="left" w:pos="1080"/>
                <w:tab w:val="left" w:pos="1296"/>
                <w:tab w:val="left" w:pos="1512"/>
                <w:tab w:val="left" w:pos="1728"/>
                <w:tab w:val="left" w:pos="1944"/>
              </w:tabs>
              <w:suppressAutoHyphens/>
              <w:jc w:val="right"/>
              <w:rPr>
                <w:sz w:val="22"/>
                <w:u w:val="double"/>
              </w:rPr>
            </w:pPr>
            <w:r w:rsidRPr="00634871">
              <w:rPr>
                <w:sz w:val="22"/>
                <w:u w:val="double"/>
              </w:rPr>
              <w:t>$</w:t>
            </w:r>
            <w:r w:rsidR="00563C05" w:rsidRPr="00634871">
              <w:rPr>
                <w:sz w:val="22"/>
                <w:u w:val="double"/>
              </w:rPr>
              <w:t xml:space="preserve">           </w:t>
            </w:r>
            <w:r w:rsidR="00634871" w:rsidRPr="00634871">
              <w:rPr>
                <w:sz w:val="22"/>
                <w:u w:val="double"/>
              </w:rPr>
              <w:t>1</w:t>
            </w:r>
            <w:r w:rsidRPr="00634871">
              <w:rPr>
                <w:sz w:val="22"/>
                <w:u w:val="double"/>
              </w:rPr>
              <w:t>,</w:t>
            </w:r>
            <w:r w:rsidR="00634871" w:rsidRPr="00634871">
              <w:rPr>
                <w:sz w:val="22"/>
                <w:u w:val="double"/>
              </w:rPr>
              <w:t>352</w:t>
            </w:r>
          </w:p>
        </w:tc>
      </w:tr>
    </w:tbl>
    <w:p w:rsidR="00636A54" w:rsidRPr="0053635E" w:rsidRDefault="00636A54" w:rsidP="00552A71">
      <w:pPr>
        <w:widowControl/>
        <w:tabs>
          <w:tab w:val="left" w:pos="-720"/>
        </w:tabs>
        <w:suppressAutoHyphens/>
        <w:spacing w:after="240"/>
        <w:ind w:firstLine="720"/>
        <w:jc w:val="both"/>
        <w:rPr>
          <w:sz w:val="22"/>
          <w:highlight w:val="yellow"/>
        </w:rPr>
      </w:pPr>
    </w:p>
    <w:p w:rsidR="006B63CF" w:rsidRPr="00630B9C" w:rsidRDefault="00A85999" w:rsidP="00D91DEA">
      <w:pPr>
        <w:widowControl/>
        <w:tabs>
          <w:tab w:val="left" w:pos="-720"/>
        </w:tabs>
        <w:suppressAutoHyphens/>
        <w:spacing w:after="240"/>
        <w:ind w:firstLine="720"/>
        <w:jc w:val="both"/>
        <w:rPr>
          <w:sz w:val="22"/>
        </w:rPr>
      </w:pPr>
      <w:r w:rsidRPr="00630B9C">
        <w:rPr>
          <w:sz w:val="22"/>
        </w:rPr>
        <w:t>T</w:t>
      </w:r>
      <w:r w:rsidR="006E4CC1" w:rsidRPr="00630B9C">
        <w:rPr>
          <w:sz w:val="22"/>
        </w:rPr>
        <w:t>he Company</w:t>
      </w:r>
      <w:r w:rsidR="00D91DEA" w:rsidRPr="00630B9C">
        <w:rPr>
          <w:sz w:val="22"/>
        </w:rPr>
        <w:t xml:space="preserve"> recorded</w:t>
      </w:r>
      <w:r w:rsidR="00D91DEA" w:rsidRPr="00630B9C">
        <w:t xml:space="preserve"> </w:t>
      </w:r>
      <w:r w:rsidR="00D91DEA" w:rsidRPr="00630B9C">
        <w:rPr>
          <w:sz w:val="22"/>
        </w:rPr>
        <w:t>share</w:t>
      </w:r>
      <w:r w:rsidR="006F3584" w:rsidRPr="00630B9C">
        <w:rPr>
          <w:sz w:val="22"/>
        </w:rPr>
        <w:t>-</w:t>
      </w:r>
      <w:r w:rsidR="00D91DEA" w:rsidRPr="00630B9C">
        <w:rPr>
          <w:sz w:val="22"/>
        </w:rPr>
        <w:t xml:space="preserve">based compensation expense for the three months ended </w:t>
      </w:r>
      <w:r w:rsidR="00630B9C" w:rsidRPr="00630B9C">
        <w:rPr>
          <w:sz w:val="22"/>
        </w:rPr>
        <w:t>March</w:t>
      </w:r>
      <w:r w:rsidR="00D91DEA" w:rsidRPr="00630B9C">
        <w:rPr>
          <w:sz w:val="22"/>
        </w:rPr>
        <w:t xml:space="preserve"> 3</w:t>
      </w:r>
      <w:r w:rsidR="00630B9C" w:rsidRPr="00630B9C">
        <w:rPr>
          <w:sz w:val="22"/>
        </w:rPr>
        <w:t>1</w:t>
      </w:r>
      <w:r w:rsidR="00D91DEA" w:rsidRPr="00630B9C">
        <w:rPr>
          <w:sz w:val="22"/>
        </w:rPr>
        <w:t>, 201</w:t>
      </w:r>
      <w:r w:rsidR="00630B9C" w:rsidRPr="00630B9C">
        <w:rPr>
          <w:sz w:val="22"/>
        </w:rPr>
        <w:t xml:space="preserve">4 and </w:t>
      </w:r>
      <w:r w:rsidR="00630B9C" w:rsidRPr="00AE72AE">
        <w:rPr>
          <w:sz w:val="22"/>
        </w:rPr>
        <w:t>2013</w:t>
      </w:r>
      <w:r w:rsidR="00D91DEA" w:rsidRPr="00AE72AE">
        <w:rPr>
          <w:sz w:val="22"/>
        </w:rPr>
        <w:t xml:space="preserve"> of $</w:t>
      </w:r>
      <w:r w:rsidR="00AE72AE" w:rsidRPr="00AE72AE">
        <w:rPr>
          <w:sz w:val="22"/>
        </w:rPr>
        <w:t>218</w:t>
      </w:r>
      <w:r w:rsidR="00D91DEA" w:rsidRPr="00AE72AE">
        <w:rPr>
          <w:sz w:val="22"/>
        </w:rPr>
        <w:t xml:space="preserve"> and $</w:t>
      </w:r>
      <w:r w:rsidR="00630B9C" w:rsidRPr="00AE72AE">
        <w:rPr>
          <w:sz w:val="22"/>
        </w:rPr>
        <w:t>281</w:t>
      </w:r>
      <w:r w:rsidR="00D91DEA" w:rsidRPr="00630B9C">
        <w:rPr>
          <w:sz w:val="22"/>
        </w:rPr>
        <w:t xml:space="preserve">, respectively. </w:t>
      </w:r>
      <w:r w:rsidR="006E4CC1" w:rsidRPr="00630B9C">
        <w:rPr>
          <w:sz w:val="22"/>
        </w:rPr>
        <w:t xml:space="preserve">Compensation expense is recorded as a component of Selling, general and administrative expense in the Company’s Consolidated Statements of Operations and is recognized on a straight-line basis with the compensation </w:t>
      </w:r>
      <w:r w:rsidR="006F3584" w:rsidRPr="00630B9C">
        <w:rPr>
          <w:sz w:val="22"/>
        </w:rPr>
        <w:t>expense</w:t>
      </w:r>
      <w:r w:rsidR="006E4CC1" w:rsidRPr="00630B9C">
        <w:rPr>
          <w:sz w:val="22"/>
        </w:rPr>
        <w:t xml:space="preserve"> recognized as of any date being at least equal to the portion of the grant-date fair value that is vested at that date. Total unrecognized compensation </w:t>
      </w:r>
      <w:r w:rsidR="006F3584" w:rsidRPr="00630B9C">
        <w:rPr>
          <w:sz w:val="22"/>
        </w:rPr>
        <w:t>expense</w:t>
      </w:r>
      <w:r w:rsidR="006E4CC1" w:rsidRPr="00630B9C">
        <w:rPr>
          <w:sz w:val="22"/>
        </w:rPr>
        <w:t xml:space="preserve"> was approximately </w:t>
      </w:r>
      <w:r w:rsidR="006E4CC1" w:rsidRPr="00AE72AE">
        <w:rPr>
          <w:sz w:val="22"/>
        </w:rPr>
        <w:t>$1,</w:t>
      </w:r>
      <w:r w:rsidR="00AE72AE" w:rsidRPr="00AE72AE">
        <w:rPr>
          <w:sz w:val="22"/>
        </w:rPr>
        <w:t>094</w:t>
      </w:r>
      <w:r w:rsidR="006E4CC1" w:rsidRPr="00AE72AE">
        <w:rPr>
          <w:sz w:val="22"/>
        </w:rPr>
        <w:t xml:space="preserve"> at </w:t>
      </w:r>
      <w:r w:rsidR="00630B9C" w:rsidRPr="00AE72AE">
        <w:rPr>
          <w:sz w:val="22"/>
        </w:rPr>
        <w:t>March</w:t>
      </w:r>
      <w:r w:rsidR="006E4CC1" w:rsidRPr="00AE72AE">
        <w:rPr>
          <w:sz w:val="22"/>
        </w:rPr>
        <w:t> 3</w:t>
      </w:r>
      <w:r w:rsidR="00630B9C" w:rsidRPr="00AE72AE">
        <w:rPr>
          <w:sz w:val="22"/>
        </w:rPr>
        <w:t>1</w:t>
      </w:r>
      <w:r w:rsidR="006E4CC1" w:rsidRPr="00AE72AE">
        <w:rPr>
          <w:sz w:val="22"/>
        </w:rPr>
        <w:t>,</w:t>
      </w:r>
      <w:r w:rsidR="006E4CC1" w:rsidRPr="00630B9C">
        <w:rPr>
          <w:sz w:val="22"/>
        </w:rPr>
        <w:t xml:space="preserve"> 201</w:t>
      </w:r>
      <w:r w:rsidR="00630B9C">
        <w:rPr>
          <w:sz w:val="22"/>
        </w:rPr>
        <w:t>4</w:t>
      </w:r>
      <w:r w:rsidR="006E4CC1" w:rsidRPr="00630B9C">
        <w:rPr>
          <w:sz w:val="22"/>
        </w:rPr>
        <w:t>, which is expected to be recognized over the remaining weighted</w:t>
      </w:r>
      <w:r w:rsidR="006E4CC1" w:rsidRPr="00630B9C">
        <w:rPr>
          <w:sz w:val="22"/>
        </w:rPr>
        <w:noBreakHyphen/>
        <w:t xml:space="preserve">average vesting period </w:t>
      </w:r>
      <w:r w:rsidR="006E4CC1" w:rsidRPr="00CF411F">
        <w:rPr>
          <w:sz w:val="22"/>
        </w:rPr>
        <w:t xml:space="preserve">of </w:t>
      </w:r>
      <w:r w:rsidR="0046339E" w:rsidRPr="00CF411F">
        <w:rPr>
          <w:sz w:val="22"/>
        </w:rPr>
        <w:t>1</w:t>
      </w:r>
      <w:r w:rsidR="00D91DEA" w:rsidRPr="00CF411F">
        <w:rPr>
          <w:sz w:val="22"/>
        </w:rPr>
        <w:t>.</w:t>
      </w:r>
      <w:r w:rsidR="00CF411F" w:rsidRPr="00CF411F">
        <w:rPr>
          <w:sz w:val="22"/>
        </w:rPr>
        <w:t>5</w:t>
      </w:r>
      <w:r w:rsidR="006E4CC1" w:rsidRPr="00CF411F">
        <w:rPr>
          <w:sz w:val="22"/>
        </w:rPr>
        <w:t> years.</w:t>
      </w:r>
    </w:p>
    <w:p w:rsidR="00086963" w:rsidRPr="00785455" w:rsidRDefault="009E4A5E" w:rsidP="00D91DEA">
      <w:pPr>
        <w:widowControl/>
        <w:tabs>
          <w:tab w:val="left" w:pos="-720"/>
        </w:tabs>
        <w:suppressAutoHyphens/>
        <w:spacing w:after="240"/>
        <w:ind w:firstLine="720"/>
        <w:jc w:val="both"/>
        <w:rPr>
          <w:sz w:val="22"/>
        </w:rPr>
      </w:pPr>
      <w:r w:rsidRPr="00785455">
        <w:rPr>
          <w:sz w:val="22"/>
        </w:rPr>
        <w:t>T</w:t>
      </w:r>
      <w:r w:rsidR="00086963" w:rsidRPr="00785455">
        <w:rPr>
          <w:sz w:val="22"/>
        </w:rPr>
        <w:t>he Ma</w:t>
      </w:r>
      <w:r w:rsidRPr="00785455">
        <w:rPr>
          <w:sz w:val="22"/>
        </w:rPr>
        <w:t>nagement Shareholder Agreements also provide for</w:t>
      </w:r>
      <w:r w:rsidR="00673D55" w:rsidRPr="00785455">
        <w:rPr>
          <w:sz w:val="22"/>
        </w:rPr>
        <w:t xml:space="preserve"> additional</w:t>
      </w:r>
      <w:r w:rsidRPr="00785455">
        <w:rPr>
          <w:sz w:val="22"/>
        </w:rPr>
        <w:t xml:space="preserve"> grants of</w:t>
      </w:r>
      <w:r w:rsidR="00673D55" w:rsidRPr="00785455">
        <w:rPr>
          <w:sz w:val="22"/>
        </w:rPr>
        <w:t xml:space="preserve"> </w:t>
      </w:r>
      <w:r w:rsidRPr="00785455">
        <w:rPr>
          <w:sz w:val="22"/>
        </w:rPr>
        <w:t xml:space="preserve">1,190,000 restricted </w:t>
      </w:r>
      <w:r w:rsidR="00673D55" w:rsidRPr="00785455">
        <w:rPr>
          <w:sz w:val="22"/>
        </w:rPr>
        <w:t xml:space="preserve">shares </w:t>
      </w:r>
      <w:r w:rsidRPr="00785455">
        <w:rPr>
          <w:sz w:val="22"/>
        </w:rPr>
        <w:t>upon the achievement of</w:t>
      </w:r>
      <w:r w:rsidR="00673D55" w:rsidRPr="00785455">
        <w:rPr>
          <w:sz w:val="22"/>
        </w:rPr>
        <w:t xml:space="preserve"> certain performance conditions or</w:t>
      </w:r>
      <w:r w:rsidR="004A3130" w:rsidRPr="00785455">
        <w:rPr>
          <w:sz w:val="22"/>
        </w:rPr>
        <w:t xml:space="preserve"> a certain</w:t>
      </w:r>
      <w:r w:rsidR="00673D55" w:rsidRPr="00785455">
        <w:rPr>
          <w:sz w:val="22"/>
        </w:rPr>
        <w:t xml:space="preserve"> market condition following a liquidity event.  No compensation expense has been recorded</w:t>
      </w:r>
      <w:r w:rsidRPr="00785455">
        <w:rPr>
          <w:sz w:val="22"/>
        </w:rPr>
        <w:t xml:space="preserve"> related to these shares</w:t>
      </w:r>
      <w:r w:rsidR="00673D55" w:rsidRPr="00785455">
        <w:rPr>
          <w:sz w:val="22"/>
        </w:rPr>
        <w:t xml:space="preserve"> since achievement of these conditions is not considered probable.</w:t>
      </w:r>
    </w:p>
    <w:p w:rsidR="00CA14BE" w:rsidRPr="00785455" w:rsidRDefault="00CA14BE" w:rsidP="00552A71">
      <w:pPr>
        <w:widowControl/>
        <w:tabs>
          <w:tab w:val="left" w:pos="-720"/>
        </w:tabs>
        <w:suppressAutoHyphens/>
        <w:spacing w:after="240"/>
        <w:jc w:val="both"/>
        <w:rPr>
          <w:b/>
          <w:bCs/>
          <w:sz w:val="22"/>
        </w:rPr>
      </w:pPr>
      <w:r w:rsidRPr="00785455">
        <w:rPr>
          <w:b/>
          <w:bCs/>
          <w:sz w:val="22"/>
        </w:rPr>
        <w:t>S</w:t>
      </w:r>
      <w:r w:rsidR="006B63CF" w:rsidRPr="00785455">
        <w:rPr>
          <w:b/>
          <w:bCs/>
          <w:sz w:val="22"/>
        </w:rPr>
        <w:t>hare</w:t>
      </w:r>
      <w:r w:rsidRPr="00785455">
        <w:rPr>
          <w:b/>
          <w:bCs/>
          <w:sz w:val="22"/>
        </w:rPr>
        <w:t xml:space="preserve"> Repurchases</w:t>
      </w:r>
    </w:p>
    <w:p w:rsidR="002522E9" w:rsidRDefault="00CA14BE" w:rsidP="00FD758B">
      <w:pPr>
        <w:widowControl/>
        <w:tabs>
          <w:tab w:val="left" w:pos="-720"/>
        </w:tabs>
        <w:suppressAutoHyphens/>
        <w:spacing w:after="240"/>
        <w:ind w:firstLine="720"/>
        <w:jc w:val="both"/>
        <w:rPr>
          <w:sz w:val="22"/>
        </w:rPr>
      </w:pPr>
      <w:r w:rsidRPr="00785455">
        <w:rPr>
          <w:sz w:val="22"/>
        </w:rPr>
        <w:t xml:space="preserve">During the </w:t>
      </w:r>
      <w:r w:rsidR="00785455" w:rsidRPr="00785455">
        <w:rPr>
          <w:sz w:val="22"/>
        </w:rPr>
        <w:t>three</w:t>
      </w:r>
      <w:r w:rsidR="00552A71" w:rsidRPr="00785455">
        <w:rPr>
          <w:sz w:val="22"/>
        </w:rPr>
        <w:t xml:space="preserve"> months ended </w:t>
      </w:r>
      <w:r w:rsidR="00785455" w:rsidRPr="00785455">
        <w:rPr>
          <w:sz w:val="22"/>
        </w:rPr>
        <w:t>March</w:t>
      </w:r>
      <w:r w:rsidR="00552A71" w:rsidRPr="00785455">
        <w:rPr>
          <w:sz w:val="22"/>
        </w:rPr>
        <w:t xml:space="preserve"> 3</w:t>
      </w:r>
      <w:r w:rsidR="00785455" w:rsidRPr="00785455">
        <w:rPr>
          <w:sz w:val="22"/>
        </w:rPr>
        <w:t>1</w:t>
      </w:r>
      <w:r w:rsidR="00552A71" w:rsidRPr="00785455">
        <w:rPr>
          <w:sz w:val="22"/>
        </w:rPr>
        <w:t>, 201</w:t>
      </w:r>
      <w:r w:rsidR="00785455" w:rsidRPr="00785455">
        <w:rPr>
          <w:sz w:val="22"/>
        </w:rPr>
        <w:t>4</w:t>
      </w:r>
      <w:r w:rsidRPr="00785455">
        <w:rPr>
          <w:sz w:val="22"/>
        </w:rPr>
        <w:t xml:space="preserve">, </w:t>
      </w:r>
      <w:r w:rsidR="00B31462" w:rsidRPr="00785455">
        <w:rPr>
          <w:sz w:val="22"/>
        </w:rPr>
        <w:t>Interpool</w:t>
      </w:r>
      <w:r w:rsidRPr="00785455">
        <w:rPr>
          <w:sz w:val="22"/>
        </w:rPr>
        <w:t xml:space="preserve"> </w:t>
      </w:r>
      <w:r w:rsidRPr="005F656F">
        <w:rPr>
          <w:sz w:val="22"/>
        </w:rPr>
        <w:t xml:space="preserve">purchased </w:t>
      </w:r>
      <w:r w:rsidR="003F75E8" w:rsidRPr="005F656F">
        <w:rPr>
          <w:sz w:val="22"/>
        </w:rPr>
        <w:t>6</w:t>
      </w:r>
      <w:r w:rsidR="005F656F" w:rsidRPr="005F656F">
        <w:rPr>
          <w:sz w:val="22"/>
        </w:rPr>
        <w:t>5</w:t>
      </w:r>
      <w:r w:rsidRPr="005F656F">
        <w:rPr>
          <w:sz w:val="22"/>
        </w:rPr>
        <w:t>,</w:t>
      </w:r>
      <w:r w:rsidR="005F656F" w:rsidRPr="005F656F">
        <w:rPr>
          <w:sz w:val="22"/>
        </w:rPr>
        <w:t>320</w:t>
      </w:r>
      <w:r w:rsidRPr="005F656F">
        <w:rPr>
          <w:sz w:val="22"/>
        </w:rPr>
        <w:t xml:space="preserve"> shares of SCT Chassis</w:t>
      </w:r>
      <w:r w:rsidRPr="00785455">
        <w:rPr>
          <w:sz w:val="22"/>
        </w:rPr>
        <w:t xml:space="preserve">, Inc. common stock from employees </w:t>
      </w:r>
      <w:r w:rsidR="00807F29" w:rsidRPr="00785455">
        <w:rPr>
          <w:sz w:val="22"/>
        </w:rPr>
        <w:t>to meet their minimum statutory withholding requirement upon share vesting and to repurchase shares from an employee upon termination.</w:t>
      </w:r>
      <w:r w:rsidRPr="00785455">
        <w:rPr>
          <w:sz w:val="22"/>
        </w:rPr>
        <w:t xml:space="preserve"> The cost of these shares </w:t>
      </w:r>
      <w:r w:rsidRPr="005F656F">
        <w:rPr>
          <w:sz w:val="22"/>
        </w:rPr>
        <w:t>was $</w:t>
      </w:r>
      <w:r w:rsidR="003F75E8" w:rsidRPr="005F656F">
        <w:rPr>
          <w:sz w:val="22"/>
        </w:rPr>
        <w:t>5</w:t>
      </w:r>
      <w:r w:rsidR="005F656F" w:rsidRPr="005F656F">
        <w:rPr>
          <w:sz w:val="22"/>
        </w:rPr>
        <w:t>85</w:t>
      </w:r>
      <w:r w:rsidRPr="005F656F">
        <w:rPr>
          <w:sz w:val="22"/>
        </w:rPr>
        <w:t xml:space="preserve"> and is included</w:t>
      </w:r>
      <w:r w:rsidRPr="00785455">
        <w:rPr>
          <w:sz w:val="22"/>
        </w:rPr>
        <w:t xml:space="preserve"> in Member</w:t>
      </w:r>
      <w:r w:rsidR="00744A72" w:rsidRPr="00785455">
        <w:rPr>
          <w:sz w:val="22"/>
        </w:rPr>
        <w:t>’</w:t>
      </w:r>
      <w:r w:rsidRPr="00785455">
        <w:rPr>
          <w:sz w:val="22"/>
        </w:rPr>
        <w:t xml:space="preserve">s interest </w:t>
      </w:r>
      <w:r w:rsidR="00095CA9" w:rsidRPr="00785455">
        <w:rPr>
          <w:sz w:val="22"/>
        </w:rPr>
        <w:t>o</w:t>
      </w:r>
      <w:r w:rsidRPr="00785455">
        <w:rPr>
          <w:sz w:val="22"/>
        </w:rPr>
        <w:t>n the Consolidated Balance Sheet</w:t>
      </w:r>
      <w:r w:rsidR="00095CA9" w:rsidRPr="00785455">
        <w:rPr>
          <w:sz w:val="22"/>
        </w:rPr>
        <w:t>s</w:t>
      </w:r>
      <w:r w:rsidRPr="00785455">
        <w:rPr>
          <w:sz w:val="22"/>
        </w:rPr>
        <w:t>.</w:t>
      </w:r>
    </w:p>
    <w:p w:rsidR="00813F31" w:rsidRDefault="00813F31" w:rsidP="00FD758B">
      <w:pPr>
        <w:widowControl/>
        <w:tabs>
          <w:tab w:val="left" w:pos="-720"/>
        </w:tabs>
        <w:suppressAutoHyphens/>
        <w:spacing w:after="240"/>
        <w:ind w:firstLine="720"/>
        <w:jc w:val="both"/>
        <w:rPr>
          <w:sz w:val="22"/>
        </w:rPr>
      </w:pPr>
    </w:p>
    <w:p w:rsidR="00813F31" w:rsidRPr="00FD758B" w:rsidRDefault="00813F31" w:rsidP="00FD758B">
      <w:pPr>
        <w:widowControl/>
        <w:tabs>
          <w:tab w:val="left" w:pos="-720"/>
        </w:tabs>
        <w:suppressAutoHyphens/>
        <w:spacing w:after="240"/>
        <w:ind w:firstLine="720"/>
        <w:jc w:val="both"/>
        <w:rPr>
          <w:sz w:val="22"/>
        </w:rPr>
      </w:pPr>
    </w:p>
    <w:p w:rsidR="00CA14BE" w:rsidRPr="00E31620" w:rsidRDefault="00CA14BE" w:rsidP="00EE2E7E">
      <w:pPr>
        <w:keepNext/>
        <w:keepLines/>
        <w:widowControl/>
        <w:tabs>
          <w:tab w:val="left" w:pos="-720"/>
          <w:tab w:val="left" w:pos="720"/>
          <w:tab w:val="left" w:pos="1440"/>
        </w:tabs>
        <w:suppressAutoHyphens/>
        <w:spacing w:after="240"/>
        <w:jc w:val="both"/>
        <w:rPr>
          <w:b/>
          <w:bCs/>
          <w:sz w:val="22"/>
        </w:rPr>
      </w:pPr>
      <w:r w:rsidRPr="00E31620">
        <w:rPr>
          <w:b/>
          <w:bCs/>
          <w:sz w:val="22"/>
        </w:rPr>
        <w:lastRenderedPageBreak/>
        <w:t>1</w:t>
      </w:r>
      <w:r w:rsidR="00DC4A73">
        <w:rPr>
          <w:b/>
          <w:bCs/>
          <w:sz w:val="22"/>
        </w:rPr>
        <w:t>1</w:t>
      </w:r>
      <w:r w:rsidRPr="00E31620">
        <w:rPr>
          <w:b/>
          <w:bCs/>
          <w:sz w:val="22"/>
        </w:rPr>
        <w:t>. Segment and Geographic Information</w:t>
      </w:r>
    </w:p>
    <w:p w:rsidR="00FD758B" w:rsidRDefault="00CA14BE" w:rsidP="006B63CF">
      <w:pPr>
        <w:widowControl/>
        <w:tabs>
          <w:tab w:val="left" w:pos="-720"/>
        </w:tabs>
        <w:suppressAutoHyphens/>
        <w:spacing w:after="240"/>
        <w:ind w:firstLine="720"/>
        <w:jc w:val="both"/>
        <w:rPr>
          <w:sz w:val="22"/>
        </w:rPr>
      </w:pPr>
      <w:r w:rsidRPr="00E31620">
        <w:rPr>
          <w:sz w:val="22"/>
        </w:rPr>
        <w:t>The Company</w:t>
      </w:r>
      <w:r w:rsidR="00744A72" w:rsidRPr="00E31620">
        <w:rPr>
          <w:sz w:val="22"/>
        </w:rPr>
        <w:t>’</w:t>
      </w:r>
      <w:r w:rsidRPr="00E31620">
        <w:rPr>
          <w:sz w:val="22"/>
        </w:rPr>
        <w:t xml:space="preserve">s principal business operations consist of the leasing of </w:t>
      </w:r>
      <w:r w:rsidR="007B0BFB">
        <w:rPr>
          <w:sz w:val="22"/>
        </w:rPr>
        <w:t>international and domestic chassis</w:t>
      </w:r>
      <w:r w:rsidRPr="00E31620">
        <w:rPr>
          <w:sz w:val="22"/>
        </w:rPr>
        <w:t>. The Company provides such services to its customers through two operating and reportable segments, the Marine Market segment and the Domestic Market segment. The reportable segments are based on the chassis markets that are served by the Company.</w:t>
      </w:r>
    </w:p>
    <w:p w:rsidR="00FD758B" w:rsidRPr="00E31620" w:rsidRDefault="00CA14BE" w:rsidP="00813F31">
      <w:pPr>
        <w:widowControl/>
        <w:tabs>
          <w:tab w:val="left" w:pos="-720"/>
        </w:tabs>
        <w:suppressAutoHyphens/>
        <w:spacing w:after="240"/>
        <w:ind w:firstLine="720"/>
        <w:jc w:val="both"/>
        <w:rPr>
          <w:sz w:val="22"/>
        </w:rPr>
      </w:pPr>
      <w:r w:rsidRPr="00E31620">
        <w:rPr>
          <w:sz w:val="22"/>
        </w:rPr>
        <w:t xml:space="preserve"> The Company evaluates segment performance and allocates resources to them primarily based upon Adjusted EBITDA. The Company defines </w:t>
      </w:r>
      <w:r w:rsidR="00C47379" w:rsidRPr="00E31620">
        <w:rPr>
          <w:sz w:val="22"/>
        </w:rPr>
        <w:t xml:space="preserve">Adjusted </w:t>
      </w:r>
      <w:r w:rsidRPr="00E31620">
        <w:rPr>
          <w:sz w:val="22"/>
        </w:rPr>
        <w:t>EBITDA as income (loss) before income taxes, interest expense, depreciation and amortization</w:t>
      </w:r>
      <w:r w:rsidR="00C47379" w:rsidRPr="00E31620">
        <w:rPr>
          <w:sz w:val="22"/>
        </w:rPr>
        <w:t xml:space="preserve"> expense</w:t>
      </w:r>
      <w:r w:rsidRPr="00E31620">
        <w:rPr>
          <w:sz w:val="22"/>
        </w:rPr>
        <w:t xml:space="preserve">, impairment of assets and leasing equipment, loss on </w:t>
      </w:r>
      <w:r w:rsidR="00E31620">
        <w:rPr>
          <w:sz w:val="22"/>
        </w:rPr>
        <w:t>modification and extinguishment of debt and capital lease obligations</w:t>
      </w:r>
      <w:r w:rsidR="00C47379" w:rsidRPr="00E31620">
        <w:rPr>
          <w:sz w:val="22"/>
        </w:rPr>
        <w:t>,</w:t>
      </w:r>
      <w:r w:rsidRPr="00E31620">
        <w:rPr>
          <w:sz w:val="22"/>
        </w:rPr>
        <w:t xml:space="preserve"> other expense (income)</w:t>
      </w:r>
      <w:r w:rsidR="00C47379" w:rsidRPr="00E31620">
        <w:rPr>
          <w:sz w:val="22"/>
        </w:rPr>
        <w:t>,</w:t>
      </w:r>
      <w:r w:rsidRPr="00E31620">
        <w:rPr>
          <w:sz w:val="22"/>
        </w:rPr>
        <w:t xml:space="preserve"> </w:t>
      </w:r>
      <w:r w:rsidR="006F3584" w:rsidRPr="00E31620">
        <w:rPr>
          <w:sz w:val="22"/>
        </w:rPr>
        <w:t xml:space="preserve">interest income, </w:t>
      </w:r>
      <w:r w:rsidRPr="00E31620">
        <w:rPr>
          <w:sz w:val="22"/>
        </w:rPr>
        <w:t>remanufacturing expenses, non</w:t>
      </w:r>
      <w:r w:rsidR="00744A72" w:rsidRPr="00E31620">
        <w:rPr>
          <w:sz w:val="22"/>
        </w:rPr>
        <w:t>-</w:t>
      </w:r>
      <w:r w:rsidRPr="00E31620">
        <w:rPr>
          <w:sz w:val="22"/>
        </w:rPr>
        <w:t xml:space="preserve">cash </w:t>
      </w:r>
      <w:r w:rsidR="00431D93">
        <w:rPr>
          <w:sz w:val="22"/>
        </w:rPr>
        <w:t>share-based</w:t>
      </w:r>
      <w:r w:rsidRPr="00E31620">
        <w:rPr>
          <w:sz w:val="22"/>
        </w:rPr>
        <w:t xml:space="preserve"> compensation and </w:t>
      </w:r>
      <w:r w:rsidR="00E25893" w:rsidRPr="00E31620">
        <w:rPr>
          <w:sz w:val="22"/>
        </w:rPr>
        <w:t xml:space="preserve">principal </w:t>
      </w:r>
      <w:r w:rsidRPr="00E31620">
        <w:rPr>
          <w:sz w:val="22"/>
        </w:rPr>
        <w:t xml:space="preserve">collections on direct finance leases. </w:t>
      </w:r>
      <w:r w:rsidR="00BC154B" w:rsidRPr="00E31620">
        <w:rPr>
          <w:sz w:val="22"/>
        </w:rPr>
        <w:t xml:space="preserve">Adjusted EBITDA is not a measure recognized under </w:t>
      </w:r>
      <w:r w:rsidR="00F3183B" w:rsidRPr="00E31620">
        <w:rPr>
          <w:sz w:val="22"/>
        </w:rPr>
        <w:t xml:space="preserve">U.S. </w:t>
      </w:r>
      <w:r w:rsidR="00BC154B" w:rsidRPr="00E31620">
        <w:rPr>
          <w:sz w:val="22"/>
        </w:rPr>
        <w:t xml:space="preserve">GAAP and does not have a standardized meaning prescribed by GAAP and is therefore unlikely to be comparable to similar measures presented by other companies. </w:t>
      </w:r>
      <w:r w:rsidRPr="00E31620">
        <w:rPr>
          <w:sz w:val="22"/>
        </w:rPr>
        <w:t>Adjusted EBITDA helps management identify controllable expenses and make decisions designed to help the Company meet its current financial goals and optimize its financial performance. Accordingly, the Company believes this metric measures its financial performance based on operational factors that management can impact in the short</w:t>
      </w:r>
      <w:r w:rsidR="00744A72" w:rsidRPr="00E31620">
        <w:rPr>
          <w:sz w:val="22"/>
        </w:rPr>
        <w:t>-</w:t>
      </w:r>
      <w:r w:rsidRPr="00E31620">
        <w:rPr>
          <w:sz w:val="22"/>
        </w:rPr>
        <w:t>term, namely the cost structure and expenses of the organization.</w:t>
      </w:r>
    </w:p>
    <w:p w:rsidR="00744A72" w:rsidRPr="00E31620" w:rsidRDefault="00CA14BE" w:rsidP="00EE2E7E">
      <w:pPr>
        <w:widowControl/>
        <w:tabs>
          <w:tab w:val="left" w:pos="-720"/>
        </w:tabs>
        <w:suppressAutoHyphens/>
        <w:spacing w:after="240"/>
        <w:ind w:firstLine="720"/>
        <w:jc w:val="both"/>
        <w:rPr>
          <w:sz w:val="22"/>
        </w:rPr>
      </w:pPr>
      <w:r w:rsidRPr="00E31620">
        <w:rPr>
          <w:sz w:val="22"/>
        </w:rPr>
        <w:t xml:space="preserve">The following tables show segment information for the </w:t>
      </w:r>
      <w:r w:rsidR="000D31EB" w:rsidRPr="00E31620">
        <w:rPr>
          <w:sz w:val="22"/>
        </w:rPr>
        <w:t>three months</w:t>
      </w:r>
      <w:r w:rsidRPr="00E31620">
        <w:rPr>
          <w:sz w:val="22"/>
        </w:rPr>
        <w:t xml:space="preserve"> ended </w:t>
      </w:r>
      <w:r w:rsidR="00E31620" w:rsidRPr="00E31620">
        <w:rPr>
          <w:sz w:val="22"/>
        </w:rPr>
        <w:t>March</w:t>
      </w:r>
      <w:r w:rsidRPr="00E31620">
        <w:rPr>
          <w:sz w:val="22"/>
        </w:rPr>
        <w:t> 3</w:t>
      </w:r>
      <w:r w:rsidR="00E31620" w:rsidRPr="00E31620">
        <w:rPr>
          <w:sz w:val="22"/>
        </w:rPr>
        <w:t>1</w:t>
      </w:r>
      <w:r w:rsidRPr="00E31620">
        <w:rPr>
          <w:sz w:val="22"/>
        </w:rPr>
        <w:t>, 201</w:t>
      </w:r>
      <w:r w:rsidR="00E31620" w:rsidRPr="00E31620">
        <w:rPr>
          <w:sz w:val="22"/>
        </w:rPr>
        <w:t>4</w:t>
      </w:r>
      <w:r w:rsidRPr="00E31620">
        <w:rPr>
          <w:sz w:val="22"/>
        </w:rPr>
        <w:t xml:space="preserve"> and 201</w:t>
      </w:r>
      <w:r w:rsidR="00E31620" w:rsidRPr="00E31620">
        <w:rPr>
          <w:sz w:val="22"/>
        </w:rPr>
        <w:t>3</w:t>
      </w:r>
      <w:r w:rsidRPr="00E31620">
        <w:rPr>
          <w:sz w:val="22"/>
        </w:rPr>
        <w:t>.</w:t>
      </w:r>
    </w:p>
    <w:tbl>
      <w:tblPr>
        <w:tblW w:w="4714" w:type="pct"/>
        <w:jc w:val="center"/>
        <w:tblCellMar>
          <w:left w:w="72" w:type="dxa"/>
          <w:right w:w="72" w:type="dxa"/>
        </w:tblCellMar>
        <w:tblLook w:val="0000" w:firstRow="0" w:lastRow="0" w:firstColumn="0" w:lastColumn="0" w:noHBand="0" w:noVBand="0"/>
      </w:tblPr>
      <w:tblGrid>
        <w:gridCol w:w="4141"/>
        <w:gridCol w:w="1438"/>
        <w:gridCol w:w="1421"/>
        <w:gridCol w:w="1299"/>
        <w:gridCol w:w="1340"/>
      </w:tblGrid>
      <w:tr w:rsidR="00DF3FE4" w:rsidRPr="0053635E" w:rsidTr="00813F31">
        <w:trPr>
          <w:cantSplit/>
          <w:jc w:val="center"/>
        </w:trPr>
        <w:tc>
          <w:tcPr>
            <w:tcW w:w="2148" w:type="pct"/>
            <w:tcBorders>
              <w:top w:val="nil"/>
              <w:left w:val="nil"/>
              <w:bottom w:val="nil"/>
              <w:right w:val="nil"/>
            </w:tcBorders>
            <w:vAlign w:val="bottom"/>
          </w:tcPr>
          <w:p w:rsidR="00CA14BE" w:rsidRPr="00E31620" w:rsidRDefault="00CE4A78" w:rsidP="00E3162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22"/>
              </w:rPr>
            </w:pPr>
            <w:r w:rsidRPr="00E31620">
              <w:rPr>
                <w:b/>
                <w:bCs/>
                <w:sz w:val="22"/>
              </w:rPr>
              <w:t xml:space="preserve">Three Months ended </w:t>
            </w:r>
            <w:r w:rsidR="00E31620" w:rsidRPr="00E31620">
              <w:rPr>
                <w:b/>
                <w:bCs/>
                <w:sz w:val="22"/>
              </w:rPr>
              <w:t>March</w:t>
            </w:r>
            <w:r w:rsidR="00E84D67" w:rsidRPr="00E31620">
              <w:rPr>
                <w:b/>
                <w:bCs/>
                <w:sz w:val="22"/>
              </w:rPr>
              <w:t xml:space="preserve"> 3</w:t>
            </w:r>
            <w:r w:rsidR="00E31620" w:rsidRPr="00E31620">
              <w:rPr>
                <w:b/>
                <w:bCs/>
                <w:sz w:val="22"/>
              </w:rPr>
              <w:t>1</w:t>
            </w:r>
            <w:r w:rsidR="00E84D67" w:rsidRPr="00E31620">
              <w:rPr>
                <w:b/>
                <w:bCs/>
                <w:sz w:val="22"/>
              </w:rPr>
              <w:t xml:space="preserve">, </w:t>
            </w:r>
            <w:r w:rsidR="00CA14BE" w:rsidRPr="00E31620">
              <w:rPr>
                <w:b/>
                <w:bCs/>
                <w:sz w:val="22"/>
              </w:rPr>
              <w:t>201</w:t>
            </w:r>
            <w:r w:rsidR="00E31620" w:rsidRPr="00E31620">
              <w:rPr>
                <w:b/>
                <w:bCs/>
                <w:sz w:val="22"/>
              </w:rPr>
              <w:t>4</w:t>
            </w:r>
          </w:p>
        </w:tc>
        <w:tc>
          <w:tcPr>
            <w:tcW w:w="746" w:type="pct"/>
            <w:tcBorders>
              <w:top w:val="nil"/>
              <w:left w:val="nil"/>
              <w:bottom w:val="nil"/>
              <w:right w:val="nil"/>
            </w:tcBorders>
            <w:vAlign w:val="bottom"/>
          </w:tcPr>
          <w:p w:rsidR="00CA14BE" w:rsidRPr="00E31620"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E31620">
              <w:rPr>
                <w:b/>
                <w:bCs/>
                <w:sz w:val="22"/>
              </w:rPr>
              <w:t>Marine</w:t>
            </w:r>
            <w:r w:rsidR="00744A72" w:rsidRPr="00E31620">
              <w:rPr>
                <w:b/>
                <w:bCs/>
                <w:sz w:val="22"/>
              </w:rPr>
              <w:br/>
            </w:r>
            <w:r w:rsidRPr="00E31620">
              <w:rPr>
                <w:b/>
                <w:bCs/>
                <w:sz w:val="22"/>
              </w:rPr>
              <w:t>Market</w:t>
            </w:r>
            <w:r w:rsidR="00744A72" w:rsidRPr="00E31620">
              <w:rPr>
                <w:b/>
                <w:bCs/>
                <w:sz w:val="22"/>
              </w:rPr>
              <w:br/>
            </w:r>
            <w:r w:rsidRPr="00E31620">
              <w:rPr>
                <w:b/>
                <w:bCs/>
                <w:sz w:val="22"/>
              </w:rPr>
              <w:t>segment</w:t>
            </w:r>
          </w:p>
        </w:tc>
        <w:tc>
          <w:tcPr>
            <w:tcW w:w="737" w:type="pct"/>
            <w:tcBorders>
              <w:top w:val="nil"/>
              <w:left w:val="nil"/>
              <w:bottom w:val="nil"/>
              <w:right w:val="nil"/>
            </w:tcBorders>
            <w:vAlign w:val="bottom"/>
          </w:tcPr>
          <w:p w:rsidR="00CA14BE" w:rsidRPr="00E31620"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E31620">
              <w:rPr>
                <w:b/>
                <w:bCs/>
                <w:sz w:val="22"/>
              </w:rPr>
              <w:t>Domestic</w:t>
            </w:r>
            <w:r w:rsidR="00744A72" w:rsidRPr="00E31620">
              <w:rPr>
                <w:b/>
                <w:bCs/>
                <w:sz w:val="22"/>
              </w:rPr>
              <w:br/>
            </w:r>
            <w:r w:rsidRPr="00E31620">
              <w:rPr>
                <w:b/>
                <w:bCs/>
                <w:sz w:val="22"/>
              </w:rPr>
              <w:t>Market</w:t>
            </w:r>
            <w:r w:rsidR="00744A72" w:rsidRPr="00E31620">
              <w:rPr>
                <w:b/>
                <w:bCs/>
                <w:sz w:val="22"/>
              </w:rPr>
              <w:br/>
            </w:r>
            <w:r w:rsidRPr="00E31620">
              <w:rPr>
                <w:b/>
                <w:bCs/>
                <w:sz w:val="22"/>
              </w:rPr>
              <w:t>segment</w:t>
            </w:r>
          </w:p>
        </w:tc>
        <w:tc>
          <w:tcPr>
            <w:tcW w:w="674" w:type="pct"/>
            <w:tcBorders>
              <w:top w:val="nil"/>
              <w:left w:val="nil"/>
              <w:bottom w:val="nil"/>
              <w:right w:val="nil"/>
            </w:tcBorders>
            <w:vAlign w:val="bottom"/>
          </w:tcPr>
          <w:p w:rsidR="00CA14BE" w:rsidRPr="00E31620"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E31620">
              <w:rPr>
                <w:b/>
                <w:bCs/>
                <w:sz w:val="22"/>
              </w:rPr>
              <w:t>Other</w:t>
            </w:r>
          </w:p>
        </w:tc>
        <w:tc>
          <w:tcPr>
            <w:tcW w:w="695" w:type="pct"/>
            <w:tcBorders>
              <w:top w:val="nil"/>
              <w:left w:val="nil"/>
              <w:bottom w:val="nil"/>
              <w:right w:val="nil"/>
            </w:tcBorders>
            <w:vAlign w:val="bottom"/>
          </w:tcPr>
          <w:p w:rsidR="00CA14BE" w:rsidRPr="00E31620"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E31620">
              <w:rPr>
                <w:b/>
                <w:bCs/>
                <w:sz w:val="22"/>
              </w:rPr>
              <w:t>Total</w:t>
            </w:r>
          </w:p>
        </w:tc>
      </w:tr>
      <w:tr w:rsidR="00DF3FE4" w:rsidRPr="006309EF" w:rsidTr="00813F31">
        <w:trPr>
          <w:cantSplit/>
          <w:jc w:val="center"/>
        </w:trPr>
        <w:tc>
          <w:tcPr>
            <w:tcW w:w="2148" w:type="pct"/>
            <w:tcBorders>
              <w:top w:val="nil"/>
              <w:left w:val="nil"/>
              <w:bottom w:val="nil"/>
              <w:right w:val="nil"/>
            </w:tcBorders>
          </w:tcPr>
          <w:p w:rsidR="00CA14BE" w:rsidRPr="00E31620" w:rsidRDefault="00CA14BE" w:rsidP="00DF3FE4">
            <w:pPr>
              <w:widowControl/>
              <w:suppressAutoHyphens/>
              <w:ind w:left="200" w:hanging="200"/>
              <w:rPr>
                <w:sz w:val="22"/>
              </w:rPr>
            </w:pPr>
            <w:r w:rsidRPr="00E31620">
              <w:rPr>
                <w:sz w:val="22"/>
              </w:rPr>
              <w:t>Term revenue</w:t>
            </w:r>
            <w:r w:rsidRPr="00E31620">
              <w:rPr>
                <w:sz w:val="22"/>
              </w:rPr>
              <w:tab/>
            </w:r>
          </w:p>
        </w:tc>
        <w:tc>
          <w:tcPr>
            <w:tcW w:w="746" w:type="pct"/>
            <w:tcBorders>
              <w:top w:val="nil"/>
              <w:left w:val="nil"/>
              <w:bottom w:val="nil"/>
              <w:right w:val="nil"/>
            </w:tcBorders>
            <w:vAlign w:val="bottom"/>
          </w:tcPr>
          <w:p w:rsidR="00CA14BE" w:rsidRPr="006309EF" w:rsidRDefault="00CA14BE" w:rsidP="006309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w:t>
            </w:r>
            <w:r w:rsidR="00DF3FE4" w:rsidRPr="006309EF">
              <w:rPr>
                <w:sz w:val="22"/>
              </w:rPr>
              <w:t xml:space="preserve">  </w:t>
            </w:r>
            <w:r w:rsidR="0056516D" w:rsidRPr="006309EF">
              <w:rPr>
                <w:sz w:val="22"/>
              </w:rPr>
              <w:t xml:space="preserve">   </w:t>
            </w:r>
            <w:r w:rsidR="00DF3FE4" w:rsidRPr="006309EF">
              <w:rPr>
                <w:sz w:val="22"/>
              </w:rPr>
              <w:t xml:space="preserve">     </w:t>
            </w:r>
            <w:r w:rsidR="00042719" w:rsidRPr="006309EF">
              <w:rPr>
                <w:sz w:val="22"/>
              </w:rPr>
              <w:t>10</w:t>
            </w:r>
            <w:r w:rsidRPr="006309EF">
              <w:rPr>
                <w:sz w:val="22"/>
              </w:rPr>
              <w:t>,</w:t>
            </w:r>
            <w:r w:rsidR="006309EF" w:rsidRPr="006309EF">
              <w:rPr>
                <w:sz w:val="22"/>
              </w:rPr>
              <w:t>149</w:t>
            </w:r>
          </w:p>
        </w:tc>
        <w:tc>
          <w:tcPr>
            <w:tcW w:w="737" w:type="pct"/>
            <w:tcBorders>
              <w:top w:val="nil"/>
              <w:left w:val="nil"/>
              <w:bottom w:val="nil"/>
              <w:right w:val="nil"/>
            </w:tcBorders>
            <w:vAlign w:val="bottom"/>
          </w:tcPr>
          <w:p w:rsidR="00CA14BE" w:rsidRPr="006309EF" w:rsidRDefault="00CA14BE" w:rsidP="006309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w:t>
            </w:r>
            <w:r w:rsidR="0056516D" w:rsidRPr="006309EF">
              <w:rPr>
                <w:sz w:val="22"/>
              </w:rPr>
              <w:t xml:space="preserve">   </w:t>
            </w:r>
            <w:r w:rsidR="00DF3FE4" w:rsidRPr="006309EF">
              <w:rPr>
                <w:sz w:val="22"/>
              </w:rPr>
              <w:t xml:space="preserve"> </w:t>
            </w:r>
            <w:r w:rsidR="00E23A04" w:rsidRPr="006309EF">
              <w:rPr>
                <w:sz w:val="22"/>
              </w:rPr>
              <w:t xml:space="preserve">  </w:t>
            </w:r>
            <w:r w:rsidR="00DF3FE4" w:rsidRPr="006309EF">
              <w:rPr>
                <w:sz w:val="22"/>
              </w:rPr>
              <w:t xml:space="preserve">      </w:t>
            </w:r>
            <w:r w:rsidR="006309EF" w:rsidRPr="006309EF">
              <w:rPr>
                <w:sz w:val="22"/>
              </w:rPr>
              <w:t>5</w:t>
            </w:r>
            <w:r w:rsidR="0047113F" w:rsidRPr="006309EF">
              <w:rPr>
                <w:sz w:val="22"/>
              </w:rPr>
              <w:t>,</w:t>
            </w:r>
            <w:r w:rsidR="006309EF" w:rsidRPr="006309EF">
              <w:rPr>
                <w:sz w:val="22"/>
              </w:rPr>
              <w:t>154</w:t>
            </w:r>
          </w:p>
        </w:tc>
        <w:tc>
          <w:tcPr>
            <w:tcW w:w="674" w:type="pct"/>
            <w:tcBorders>
              <w:top w:val="nil"/>
              <w:left w:val="nil"/>
              <w:bottom w:val="nil"/>
              <w:right w:val="nil"/>
            </w:tcBorders>
            <w:vAlign w:val="bottom"/>
          </w:tcPr>
          <w:p w:rsidR="00CA14BE" w:rsidRPr="006309EF" w:rsidRDefault="00CA14BE" w:rsidP="0056516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w:t>
            </w:r>
            <w:r w:rsidR="00DF3FE4" w:rsidRPr="006309EF">
              <w:rPr>
                <w:sz w:val="22"/>
              </w:rPr>
              <w:t xml:space="preserve">  </w:t>
            </w:r>
            <w:r w:rsidR="0056516D" w:rsidRPr="006309EF">
              <w:rPr>
                <w:sz w:val="22"/>
              </w:rPr>
              <w:t xml:space="preserve">    </w:t>
            </w:r>
            <w:r w:rsidR="00DF3FE4" w:rsidRPr="006309EF">
              <w:rPr>
                <w:sz w:val="22"/>
              </w:rPr>
              <w:t xml:space="preserve">         </w:t>
            </w:r>
            <w:r w:rsidR="00744A72" w:rsidRPr="006309EF">
              <w:rPr>
                <w:sz w:val="22"/>
              </w:rPr>
              <w:t>—</w:t>
            </w:r>
          </w:p>
        </w:tc>
        <w:tc>
          <w:tcPr>
            <w:tcW w:w="695" w:type="pct"/>
            <w:tcBorders>
              <w:top w:val="nil"/>
              <w:left w:val="nil"/>
              <w:bottom w:val="nil"/>
              <w:right w:val="nil"/>
            </w:tcBorders>
            <w:vAlign w:val="bottom"/>
          </w:tcPr>
          <w:p w:rsidR="00CA14BE" w:rsidRPr="006309EF" w:rsidRDefault="00CA14BE" w:rsidP="006309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w:t>
            </w:r>
            <w:r w:rsidR="00DF3FE4" w:rsidRPr="006309EF">
              <w:rPr>
                <w:sz w:val="22"/>
              </w:rPr>
              <w:t xml:space="preserve"> </w:t>
            </w:r>
            <w:r w:rsidR="00E23A04" w:rsidRPr="006309EF">
              <w:rPr>
                <w:sz w:val="22"/>
              </w:rPr>
              <w:t xml:space="preserve">  </w:t>
            </w:r>
            <w:r w:rsidR="00DF3FE4" w:rsidRPr="006309EF">
              <w:rPr>
                <w:sz w:val="22"/>
              </w:rPr>
              <w:t xml:space="preserve"> </w:t>
            </w:r>
            <w:r w:rsidR="0056516D" w:rsidRPr="006309EF">
              <w:rPr>
                <w:sz w:val="22"/>
              </w:rPr>
              <w:t xml:space="preserve"> </w:t>
            </w:r>
            <w:r w:rsidR="00DF3FE4" w:rsidRPr="006309EF">
              <w:rPr>
                <w:sz w:val="22"/>
              </w:rPr>
              <w:t xml:space="preserve">   </w:t>
            </w:r>
            <w:r w:rsidR="00A64480" w:rsidRPr="006309EF">
              <w:rPr>
                <w:sz w:val="22"/>
              </w:rPr>
              <w:t>1</w:t>
            </w:r>
            <w:r w:rsidR="006309EF" w:rsidRPr="006309EF">
              <w:rPr>
                <w:sz w:val="22"/>
              </w:rPr>
              <w:t>5</w:t>
            </w:r>
            <w:r w:rsidRPr="006309EF">
              <w:rPr>
                <w:sz w:val="22"/>
              </w:rPr>
              <w:t>,</w:t>
            </w:r>
            <w:r w:rsidR="006309EF" w:rsidRPr="006309EF">
              <w:rPr>
                <w:sz w:val="22"/>
              </w:rPr>
              <w:t>303</w:t>
            </w:r>
          </w:p>
        </w:tc>
      </w:tr>
      <w:tr w:rsidR="00DF3FE4" w:rsidRPr="006309EF" w:rsidTr="00813F31">
        <w:trPr>
          <w:cantSplit/>
          <w:jc w:val="center"/>
        </w:trPr>
        <w:tc>
          <w:tcPr>
            <w:tcW w:w="2148" w:type="pct"/>
            <w:tcBorders>
              <w:top w:val="nil"/>
              <w:left w:val="nil"/>
              <w:bottom w:val="nil"/>
              <w:right w:val="nil"/>
            </w:tcBorders>
          </w:tcPr>
          <w:p w:rsidR="00CA14BE" w:rsidRPr="00E31620" w:rsidRDefault="00CA14BE" w:rsidP="00DF3FE4">
            <w:pPr>
              <w:widowControl/>
              <w:suppressAutoHyphens/>
              <w:ind w:left="200" w:hanging="200"/>
              <w:rPr>
                <w:sz w:val="22"/>
              </w:rPr>
            </w:pPr>
            <w:r w:rsidRPr="00E31620">
              <w:rPr>
                <w:sz w:val="22"/>
              </w:rPr>
              <w:t>Pool revenue</w:t>
            </w:r>
            <w:r w:rsidRPr="00E31620">
              <w:rPr>
                <w:sz w:val="22"/>
              </w:rPr>
              <w:tab/>
            </w:r>
          </w:p>
        </w:tc>
        <w:tc>
          <w:tcPr>
            <w:tcW w:w="746" w:type="pct"/>
            <w:tcBorders>
              <w:top w:val="nil"/>
              <w:left w:val="nil"/>
              <w:bottom w:val="nil"/>
              <w:right w:val="nil"/>
            </w:tcBorders>
            <w:vAlign w:val="bottom"/>
          </w:tcPr>
          <w:p w:rsidR="00CA14BE" w:rsidRPr="006309EF" w:rsidRDefault="006309EF" w:rsidP="006309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80</w:t>
            </w:r>
            <w:r w:rsidR="00CA14BE" w:rsidRPr="006309EF">
              <w:rPr>
                <w:sz w:val="22"/>
              </w:rPr>
              <w:t>,</w:t>
            </w:r>
            <w:r w:rsidRPr="006309EF">
              <w:rPr>
                <w:sz w:val="22"/>
              </w:rPr>
              <w:t>778</w:t>
            </w:r>
          </w:p>
        </w:tc>
        <w:tc>
          <w:tcPr>
            <w:tcW w:w="737" w:type="pct"/>
            <w:tcBorders>
              <w:top w:val="nil"/>
              <w:left w:val="nil"/>
              <w:bottom w:val="nil"/>
              <w:right w:val="nil"/>
            </w:tcBorders>
            <w:vAlign w:val="bottom"/>
          </w:tcPr>
          <w:p w:rsidR="00CA14BE" w:rsidRPr="006309EF" w:rsidRDefault="00A64480" w:rsidP="006309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3</w:t>
            </w:r>
            <w:r w:rsidR="006309EF" w:rsidRPr="006309EF">
              <w:rPr>
                <w:sz w:val="22"/>
              </w:rPr>
              <w:t>5</w:t>
            </w:r>
            <w:r w:rsidR="00CA14BE" w:rsidRPr="006309EF">
              <w:rPr>
                <w:sz w:val="22"/>
              </w:rPr>
              <w:t>,</w:t>
            </w:r>
            <w:r w:rsidR="006309EF" w:rsidRPr="006309EF">
              <w:rPr>
                <w:sz w:val="22"/>
              </w:rPr>
              <w:t>288</w:t>
            </w:r>
          </w:p>
        </w:tc>
        <w:tc>
          <w:tcPr>
            <w:tcW w:w="674" w:type="pct"/>
            <w:tcBorders>
              <w:top w:val="nil"/>
              <w:left w:val="nil"/>
              <w:bottom w:val="nil"/>
              <w:right w:val="nil"/>
            </w:tcBorders>
            <w:vAlign w:val="bottom"/>
          </w:tcPr>
          <w:p w:rsidR="00CA14BE" w:rsidRPr="006309EF"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w:t>
            </w:r>
          </w:p>
        </w:tc>
        <w:tc>
          <w:tcPr>
            <w:tcW w:w="695" w:type="pct"/>
            <w:tcBorders>
              <w:top w:val="nil"/>
              <w:left w:val="nil"/>
              <w:bottom w:val="nil"/>
              <w:right w:val="nil"/>
            </w:tcBorders>
            <w:vAlign w:val="bottom"/>
          </w:tcPr>
          <w:p w:rsidR="00CA14BE" w:rsidRPr="006309EF" w:rsidRDefault="00313EC0" w:rsidP="006309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11</w:t>
            </w:r>
            <w:r w:rsidR="006309EF" w:rsidRPr="006309EF">
              <w:rPr>
                <w:sz w:val="22"/>
              </w:rPr>
              <w:t>6</w:t>
            </w:r>
            <w:r w:rsidR="00CA14BE" w:rsidRPr="006309EF">
              <w:rPr>
                <w:sz w:val="22"/>
              </w:rPr>
              <w:t>,</w:t>
            </w:r>
            <w:r w:rsidR="006309EF" w:rsidRPr="006309EF">
              <w:rPr>
                <w:sz w:val="22"/>
              </w:rPr>
              <w:t>066</w:t>
            </w:r>
          </w:p>
        </w:tc>
      </w:tr>
      <w:tr w:rsidR="00DF3FE4" w:rsidRPr="006309EF" w:rsidTr="00813F31">
        <w:trPr>
          <w:cantSplit/>
          <w:jc w:val="center"/>
        </w:trPr>
        <w:tc>
          <w:tcPr>
            <w:tcW w:w="2148" w:type="pct"/>
            <w:tcBorders>
              <w:top w:val="nil"/>
              <w:left w:val="nil"/>
              <w:bottom w:val="nil"/>
              <w:right w:val="nil"/>
            </w:tcBorders>
          </w:tcPr>
          <w:p w:rsidR="00CA14BE" w:rsidRPr="00E31620" w:rsidRDefault="00CA14BE" w:rsidP="00DF3FE4">
            <w:pPr>
              <w:widowControl/>
              <w:suppressAutoHyphens/>
              <w:spacing w:after="20"/>
              <w:ind w:left="200" w:hanging="200"/>
              <w:rPr>
                <w:sz w:val="22"/>
              </w:rPr>
            </w:pPr>
            <w:r w:rsidRPr="00E31620">
              <w:rPr>
                <w:sz w:val="22"/>
              </w:rPr>
              <w:t>All other revenue</w:t>
            </w:r>
            <w:r w:rsidRPr="00E31620">
              <w:rPr>
                <w:sz w:val="22"/>
              </w:rPr>
              <w:tab/>
            </w:r>
          </w:p>
        </w:tc>
        <w:tc>
          <w:tcPr>
            <w:tcW w:w="746" w:type="pct"/>
            <w:tcBorders>
              <w:top w:val="nil"/>
              <w:left w:val="nil"/>
              <w:bottom w:val="nil"/>
              <w:right w:val="nil"/>
            </w:tcBorders>
            <w:vAlign w:val="bottom"/>
          </w:tcPr>
          <w:p w:rsidR="00CA14BE" w:rsidRPr="006309EF" w:rsidRDefault="006309EF" w:rsidP="006309E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309EF">
              <w:rPr>
                <w:sz w:val="22"/>
              </w:rPr>
              <w:t>4</w:t>
            </w:r>
            <w:r w:rsidR="00CA14BE" w:rsidRPr="006309EF">
              <w:rPr>
                <w:sz w:val="22"/>
              </w:rPr>
              <w:t>,</w:t>
            </w:r>
            <w:r w:rsidRPr="006309EF">
              <w:rPr>
                <w:sz w:val="22"/>
              </w:rPr>
              <w:t>959</w:t>
            </w:r>
          </w:p>
        </w:tc>
        <w:tc>
          <w:tcPr>
            <w:tcW w:w="737" w:type="pct"/>
            <w:tcBorders>
              <w:top w:val="nil"/>
              <w:left w:val="nil"/>
              <w:bottom w:val="nil"/>
              <w:right w:val="nil"/>
            </w:tcBorders>
            <w:vAlign w:val="bottom"/>
          </w:tcPr>
          <w:p w:rsidR="00CA14BE" w:rsidRPr="006309EF" w:rsidRDefault="006309EF" w:rsidP="006309E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309EF">
              <w:rPr>
                <w:sz w:val="22"/>
              </w:rPr>
              <w:t>2</w:t>
            </w:r>
            <w:r w:rsidR="00CA14BE" w:rsidRPr="006309EF">
              <w:rPr>
                <w:sz w:val="22"/>
              </w:rPr>
              <w:t>,</w:t>
            </w:r>
            <w:r w:rsidRPr="006309EF">
              <w:rPr>
                <w:sz w:val="22"/>
              </w:rPr>
              <w:t>372</w:t>
            </w:r>
          </w:p>
        </w:tc>
        <w:tc>
          <w:tcPr>
            <w:tcW w:w="674" w:type="pct"/>
            <w:tcBorders>
              <w:top w:val="nil"/>
              <w:left w:val="nil"/>
              <w:bottom w:val="nil"/>
              <w:right w:val="nil"/>
            </w:tcBorders>
            <w:vAlign w:val="bottom"/>
          </w:tcPr>
          <w:p w:rsidR="00CA14BE" w:rsidRPr="006309EF" w:rsidRDefault="006309EF" w:rsidP="006309E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309EF">
              <w:rPr>
                <w:sz w:val="22"/>
              </w:rPr>
              <w:t>951</w:t>
            </w:r>
          </w:p>
        </w:tc>
        <w:tc>
          <w:tcPr>
            <w:tcW w:w="695" w:type="pct"/>
            <w:tcBorders>
              <w:top w:val="nil"/>
              <w:left w:val="nil"/>
              <w:bottom w:val="nil"/>
              <w:right w:val="nil"/>
            </w:tcBorders>
            <w:vAlign w:val="bottom"/>
          </w:tcPr>
          <w:p w:rsidR="00CA14BE" w:rsidRPr="006309EF" w:rsidRDefault="006309EF" w:rsidP="006309E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6309EF">
              <w:rPr>
                <w:sz w:val="22"/>
              </w:rPr>
              <w:t>8</w:t>
            </w:r>
            <w:r w:rsidR="00CA14BE" w:rsidRPr="006309EF">
              <w:rPr>
                <w:sz w:val="22"/>
              </w:rPr>
              <w:t>,</w:t>
            </w:r>
            <w:r w:rsidRPr="006309EF">
              <w:rPr>
                <w:sz w:val="22"/>
              </w:rPr>
              <w:t>282</w:t>
            </w:r>
          </w:p>
        </w:tc>
      </w:tr>
      <w:tr w:rsidR="00DF3FE4" w:rsidRPr="006309EF" w:rsidTr="00813F31">
        <w:trPr>
          <w:cantSplit/>
          <w:jc w:val="center"/>
        </w:trPr>
        <w:tc>
          <w:tcPr>
            <w:tcW w:w="2148" w:type="pct"/>
            <w:tcBorders>
              <w:top w:val="nil"/>
              <w:left w:val="nil"/>
              <w:bottom w:val="nil"/>
              <w:right w:val="nil"/>
            </w:tcBorders>
          </w:tcPr>
          <w:p w:rsidR="00CA14BE" w:rsidRPr="00E31620" w:rsidRDefault="00CA14BE" w:rsidP="00DF3FE4">
            <w:pPr>
              <w:widowControl/>
              <w:suppressAutoHyphens/>
              <w:ind w:left="200" w:hanging="200"/>
              <w:rPr>
                <w:sz w:val="22"/>
              </w:rPr>
            </w:pPr>
            <w:r w:rsidRPr="00E31620">
              <w:rPr>
                <w:sz w:val="22"/>
              </w:rPr>
              <w:t>Total revenue</w:t>
            </w:r>
            <w:r w:rsidRPr="00E31620">
              <w:rPr>
                <w:sz w:val="22"/>
              </w:rPr>
              <w:tab/>
            </w:r>
          </w:p>
        </w:tc>
        <w:tc>
          <w:tcPr>
            <w:tcW w:w="746" w:type="pct"/>
            <w:tcBorders>
              <w:top w:val="nil"/>
              <w:left w:val="nil"/>
              <w:bottom w:val="nil"/>
              <w:right w:val="nil"/>
            </w:tcBorders>
            <w:vAlign w:val="bottom"/>
          </w:tcPr>
          <w:p w:rsidR="00CA14BE" w:rsidRPr="006309EF" w:rsidRDefault="002050CB" w:rsidP="006309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 xml:space="preserve">$          </w:t>
            </w:r>
            <w:r w:rsidR="00042719" w:rsidRPr="006309EF">
              <w:rPr>
                <w:sz w:val="22"/>
              </w:rPr>
              <w:t>9</w:t>
            </w:r>
            <w:r w:rsidR="006309EF" w:rsidRPr="006309EF">
              <w:rPr>
                <w:sz w:val="22"/>
              </w:rPr>
              <w:t>5</w:t>
            </w:r>
            <w:r w:rsidR="00CA14BE" w:rsidRPr="006309EF">
              <w:rPr>
                <w:sz w:val="22"/>
              </w:rPr>
              <w:t>,</w:t>
            </w:r>
            <w:r w:rsidR="006309EF" w:rsidRPr="006309EF">
              <w:rPr>
                <w:sz w:val="22"/>
              </w:rPr>
              <w:t>886</w:t>
            </w:r>
          </w:p>
        </w:tc>
        <w:tc>
          <w:tcPr>
            <w:tcW w:w="737" w:type="pct"/>
            <w:tcBorders>
              <w:top w:val="nil"/>
              <w:left w:val="nil"/>
              <w:bottom w:val="nil"/>
              <w:right w:val="nil"/>
            </w:tcBorders>
            <w:vAlign w:val="bottom"/>
          </w:tcPr>
          <w:p w:rsidR="00CA14BE" w:rsidRPr="006309EF" w:rsidRDefault="002050CB" w:rsidP="006309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 xml:space="preserve">$          </w:t>
            </w:r>
            <w:r w:rsidR="00313EC0" w:rsidRPr="006309EF">
              <w:rPr>
                <w:sz w:val="22"/>
              </w:rPr>
              <w:t>4</w:t>
            </w:r>
            <w:r w:rsidR="006309EF" w:rsidRPr="006309EF">
              <w:rPr>
                <w:sz w:val="22"/>
              </w:rPr>
              <w:t>2</w:t>
            </w:r>
            <w:r w:rsidR="00CA14BE" w:rsidRPr="006309EF">
              <w:rPr>
                <w:sz w:val="22"/>
              </w:rPr>
              <w:t>,</w:t>
            </w:r>
            <w:r w:rsidR="006309EF" w:rsidRPr="006309EF">
              <w:rPr>
                <w:sz w:val="22"/>
              </w:rPr>
              <w:t>814</w:t>
            </w:r>
          </w:p>
        </w:tc>
        <w:tc>
          <w:tcPr>
            <w:tcW w:w="674" w:type="pct"/>
            <w:tcBorders>
              <w:top w:val="nil"/>
              <w:left w:val="nil"/>
              <w:bottom w:val="nil"/>
              <w:right w:val="nil"/>
            </w:tcBorders>
            <w:vAlign w:val="bottom"/>
          </w:tcPr>
          <w:p w:rsidR="00CA14BE" w:rsidRPr="006309EF" w:rsidRDefault="002050CB" w:rsidP="006309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 xml:space="preserve">$          </w:t>
            </w:r>
            <w:r w:rsidR="006309EF" w:rsidRPr="006309EF">
              <w:rPr>
                <w:sz w:val="22"/>
              </w:rPr>
              <w:t xml:space="preserve">  951</w:t>
            </w:r>
          </w:p>
        </w:tc>
        <w:tc>
          <w:tcPr>
            <w:tcW w:w="695" w:type="pct"/>
            <w:tcBorders>
              <w:top w:val="nil"/>
              <w:left w:val="nil"/>
              <w:bottom w:val="nil"/>
              <w:right w:val="nil"/>
            </w:tcBorders>
            <w:vAlign w:val="bottom"/>
          </w:tcPr>
          <w:p w:rsidR="00CA14BE" w:rsidRPr="006309EF" w:rsidRDefault="002050CB"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309EF">
              <w:rPr>
                <w:sz w:val="22"/>
              </w:rPr>
              <w:t xml:space="preserve">$      </w:t>
            </w:r>
            <w:r w:rsidR="00523DA1" w:rsidRPr="006309EF">
              <w:rPr>
                <w:sz w:val="22"/>
              </w:rPr>
              <w:t>1</w:t>
            </w:r>
            <w:r w:rsidR="00042719" w:rsidRPr="006309EF">
              <w:rPr>
                <w:sz w:val="22"/>
              </w:rPr>
              <w:t>3</w:t>
            </w:r>
            <w:r w:rsidR="00C9237E" w:rsidRPr="006309EF">
              <w:rPr>
                <w:sz w:val="22"/>
              </w:rPr>
              <w:t>9</w:t>
            </w:r>
            <w:r w:rsidR="00CA14BE" w:rsidRPr="006309EF">
              <w:rPr>
                <w:sz w:val="22"/>
              </w:rPr>
              <w:t>,</w:t>
            </w:r>
            <w:r w:rsidR="00C9237E" w:rsidRPr="006309EF">
              <w:rPr>
                <w:sz w:val="22"/>
              </w:rPr>
              <w:t>651</w:t>
            </w:r>
          </w:p>
        </w:tc>
      </w:tr>
      <w:tr w:rsidR="00DF3FE4" w:rsidRPr="0053635E" w:rsidTr="00813F31">
        <w:trPr>
          <w:cantSplit/>
          <w:jc w:val="center"/>
        </w:trPr>
        <w:tc>
          <w:tcPr>
            <w:tcW w:w="2148" w:type="pct"/>
            <w:tcBorders>
              <w:top w:val="nil"/>
              <w:left w:val="nil"/>
              <w:bottom w:val="nil"/>
              <w:right w:val="nil"/>
            </w:tcBorders>
          </w:tcPr>
          <w:p w:rsidR="00CA14BE" w:rsidRPr="00E31620" w:rsidRDefault="00CA14BE" w:rsidP="00DF3FE4">
            <w:pPr>
              <w:widowControl/>
              <w:suppressAutoHyphens/>
              <w:ind w:left="200" w:hanging="200"/>
              <w:rPr>
                <w:sz w:val="22"/>
              </w:rPr>
            </w:pPr>
            <w:r w:rsidRPr="00E31620">
              <w:rPr>
                <w:sz w:val="22"/>
              </w:rPr>
              <w:t>Adjusted EBITDA</w:t>
            </w:r>
            <w:r w:rsidRPr="00E31620">
              <w:rPr>
                <w:sz w:val="22"/>
              </w:rPr>
              <w:tab/>
            </w:r>
          </w:p>
        </w:tc>
        <w:tc>
          <w:tcPr>
            <w:tcW w:w="746" w:type="pct"/>
            <w:tcBorders>
              <w:top w:val="nil"/>
              <w:left w:val="nil"/>
              <w:bottom w:val="nil"/>
              <w:right w:val="nil"/>
            </w:tcBorders>
            <w:vAlign w:val="bottom"/>
          </w:tcPr>
          <w:p w:rsidR="00CA14BE" w:rsidRPr="005E67A4" w:rsidRDefault="005E67A4"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32</w:t>
            </w:r>
            <w:r w:rsidR="00CA14BE" w:rsidRPr="005E67A4">
              <w:rPr>
                <w:sz w:val="22"/>
              </w:rPr>
              <w:t>,</w:t>
            </w:r>
            <w:r w:rsidRPr="005E67A4">
              <w:rPr>
                <w:sz w:val="22"/>
              </w:rPr>
              <w:t>888</w:t>
            </w:r>
          </w:p>
        </w:tc>
        <w:tc>
          <w:tcPr>
            <w:tcW w:w="737" w:type="pct"/>
            <w:tcBorders>
              <w:top w:val="nil"/>
              <w:left w:val="nil"/>
              <w:bottom w:val="nil"/>
              <w:right w:val="nil"/>
            </w:tcBorders>
            <w:vAlign w:val="bottom"/>
          </w:tcPr>
          <w:p w:rsidR="00CA14BE" w:rsidRPr="005E67A4" w:rsidRDefault="005E67A4"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25</w:t>
            </w:r>
            <w:r w:rsidR="00CA14BE" w:rsidRPr="005E67A4">
              <w:rPr>
                <w:sz w:val="22"/>
              </w:rPr>
              <w:t>,</w:t>
            </w:r>
            <w:r w:rsidRPr="005E67A4">
              <w:rPr>
                <w:sz w:val="22"/>
              </w:rPr>
              <w:t>472</w:t>
            </w:r>
          </w:p>
        </w:tc>
        <w:tc>
          <w:tcPr>
            <w:tcW w:w="674" w:type="pct"/>
            <w:tcBorders>
              <w:top w:val="nil"/>
              <w:left w:val="nil"/>
              <w:bottom w:val="nil"/>
              <w:right w:val="nil"/>
            </w:tcBorders>
            <w:vAlign w:val="bottom"/>
          </w:tcPr>
          <w:p w:rsidR="00CA14BE" w:rsidRPr="005E67A4" w:rsidRDefault="00CA14BE"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w:t>
            </w:r>
            <w:r w:rsidR="005E67A4" w:rsidRPr="005E67A4">
              <w:rPr>
                <w:sz w:val="22"/>
              </w:rPr>
              <w:t>6</w:t>
            </w:r>
            <w:r w:rsidRPr="005E67A4">
              <w:rPr>
                <w:sz w:val="22"/>
              </w:rPr>
              <w:t>,</w:t>
            </w:r>
            <w:r w:rsidR="005E67A4" w:rsidRPr="005E67A4">
              <w:rPr>
                <w:sz w:val="22"/>
              </w:rPr>
              <w:t>163</w:t>
            </w:r>
            <w:r w:rsidRPr="005E67A4">
              <w:rPr>
                <w:sz w:val="22"/>
              </w:rPr>
              <w:t>)</w:t>
            </w:r>
          </w:p>
        </w:tc>
        <w:tc>
          <w:tcPr>
            <w:tcW w:w="695" w:type="pct"/>
            <w:tcBorders>
              <w:top w:val="nil"/>
              <w:left w:val="nil"/>
              <w:bottom w:val="nil"/>
              <w:right w:val="nil"/>
            </w:tcBorders>
            <w:vAlign w:val="bottom"/>
          </w:tcPr>
          <w:p w:rsidR="00CA14BE" w:rsidRPr="005E67A4" w:rsidRDefault="00C9237E"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52</w:t>
            </w:r>
            <w:r w:rsidR="00CA14BE" w:rsidRPr="005E67A4">
              <w:rPr>
                <w:sz w:val="22"/>
              </w:rPr>
              <w:t>,</w:t>
            </w:r>
            <w:r w:rsidRPr="005E67A4">
              <w:rPr>
                <w:sz w:val="22"/>
              </w:rPr>
              <w:t>197</w:t>
            </w:r>
          </w:p>
        </w:tc>
      </w:tr>
      <w:tr w:rsidR="00DF3FE4" w:rsidRPr="0053635E" w:rsidTr="00813F31">
        <w:trPr>
          <w:cantSplit/>
          <w:jc w:val="center"/>
        </w:trPr>
        <w:tc>
          <w:tcPr>
            <w:tcW w:w="2148" w:type="pct"/>
            <w:tcBorders>
              <w:top w:val="nil"/>
              <w:left w:val="nil"/>
              <w:bottom w:val="nil"/>
              <w:right w:val="nil"/>
            </w:tcBorders>
          </w:tcPr>
          <w:p w:rsidR="00CA14BE" w:rsidRPr="00E31620" w:rsidRDefault="00CA14BE" w:rsidP="00DF3FE4">
            <w:pPr>
              <w:widowControl/>
              <w:suppressAutoHyphens/>
              <w:ind w:left="200" w:hanging="200"/>
              <w:rPr>
                <w:sz w:val="22"/>
              </w:rPr>
            </w:pPr>
            <w:r w:rsidRPr="00E31620">
              <w:rPr>
                <w:sz w:val="22"/>
              </w:rPr>
              <w:t>Depreciation expense</w:t>
            </w:r>
            <w:r w:rsidRPr="00E31620">
              <w:rPr>
                <w:sz w:val="22"/>
              </w:rPr>
              <w:tab/>
            </w:r>
          </w:p>
        </w:tc>
        <w:tc>
          <w:tcPr>
            <w:tcW w:w="746" w:type="pct"/>
            <w:tcBorders>
              <w:top w:val="nil"/>
              <w:left w:val="nil"/>
              <w:bottom w:val="nil"/>
              <w:right w:val="nil"/>
            </w:tcBorders>
            <w:vAlign w:val="bottom"/>
          </w:tcPr>
          <w:p w:rsidR="00CA14BE" w:rsidRPr="005E67A4" w:rsidRDefault="005E67A4"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9</w:t>
            </w:r>
            <w:r w:rsidR="00CA14BE" w:rsidRPr="005E67A4">
              <w:rPr>
                <w:sz w:val="22"/>
              </w:rPr>
              <w:t>,</w:t>
            </w:r>
            <w:r w:rsidRPr="005E67A4">
              <w:rPr>
                <w:sz w:val="22"/>
              </w:rPr>
              <w:t>021</w:t>
            </w:r>
          </w:p>
        </w:tc>
        <w:tc>
          <w:tcPr>
            <w:tcW w:w="737" w:type="pct"/>
            <w:tcBorders>
              <w:top w:val="nil"/>
              <w:left w:val="nil"/>
              <w:bottom w:val="nil"/>
              <w:right w:val="nil"/>
            </w:tcBorders>
            <w:vAlign w:val="bottom"/>
          </w:tcPr>
          <w:p w:rsidR="00CA14BE" w:rsidRPr="005E67A4" w:rsidRDefault="00EC37F6"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7</w:t>
            </w:r>
            <w:r w:rsidR="00CA14BE" w:rsidRPr="005E67A4">
              <w:rPr>
                <w:sz w:val="22"/>
              </w:rPr>
              <w:t>,</w:t>
            </w:r>
            <w:r w:rsidR="005E67A4" w:rsidRPr="005E67A4">
              <w:rPr>
                <w:sz w:val="22"/>
              </w:rPr>
              <w:t>634</w:t>
            </w:r>
          </w:p>
        </w:tc>
        <w:tc>
          <w:tcPr>
            <w:tcW w:w="674" w:type="pct"/>
            <w:tcBorders>
              <w:top w:val="nil"/>
              <w:left w:val="nil"/>
              <w:bottom w:val="nil"/>
              <w:right w:val="nil"/>
            </w:tcBorders>
            <w:vAlign w:val="bottom"/>
          </w:tcPr>
          <w:p w:rsidR="00CA14BE" w:rsidRPr="005E67A4" w:rsidRDefault="00EC37F6"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1</w:t>
            </w:r>
            <w:r w:rsidR="00CA14BE" w:rsidRPr="005E67A4">
              <w:rPr>
                <w:sz w:val="22"/>
              </w:rPr>
              <w:t>,</w:t>
            </w:r>
            <w:r w:rsidR="005E67A4" w:rsidRPr="005E67A4">
              <w:rPr>
                <w:sz w:val="22"/>
              </w:rPr>
              <w:t>849</w:t>
            </w:r>
          </w:p>
        </w:tc>
        <w:tc>
          <w:tcPr>
            <w:tcW w:w="695" w:type="pct"/>
            <w:tcBorders>
              <w:top w:val="nil"/>
              <w:left w:val="nil"/>
              <w:bottom w:val="nil"/>
              <w:right w:val="nil"/>
            </w:tcBorders>
            <w:vAlign w:val="bottom"/>
          </w:tcPr>
          <w:p w:rsidR="00CA14BE" w:rsidRPr="00C9237E" w:rsidRDefault="00042719"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9237E">
              <w:rPr>
                <w:sz w:val="22"/>
              </w:rPr>
              <w:t>18</w:t>
            </w:r>
            <w:r w:rsidR="00CA14BE" w:rsidRPr="00C9237E">
              <w:rPr>
                <w:sz w:val="22"/>
              </w:rPr>
              <w:t>,</w:t>
            </w:r>
            <w:r w:rsidR="00C9237E" w:rsidRPr="00C9237E">
              <w:rPr>
                <w:sz w:val="22"/>
              </w:rPr>
              <w:t>504</w:t>
            </w:r>
          </w:p>
        </w:tc>
      </w:tr>
      <w:tr w:rsidR="00DF3FE4" w:rsidRPr="0053635E" w:rsidTr="00813F31">
        <w:trPr>
          <w:cantSplit/>
          <w:jc w:val="center"/>
        </w:trPr>
        <w:tc>
          <w:tcPr>
            <w:tcW w:w="2148" w:type="pct"/>
            <w:tcBorders>
              <w:top w:val="nil"/>
              <w:left w:val="nil"/>
              <w:bottom w:val="nil"/>
              <w:right w:val="nil"/>
            </w:tcBorders>
          </w:tcPr>
          <w:p w:rsidR="00CA14BE" w:rsidRPr="00E31620" w:rsidRDefault="00CA14BE" w:rsidP="00DF3FE4">
            <w:pPr>
              <w:widowControl/>
              <w:suppressAutoHyphens/>
              <w:ind w:left="200" w:hanging="200"/>
              <w:rPr>
                <w:sz w:val="22"/>
              </w:rPr>
            </w:pPr>
            <w:r w:rsidRPr="00E31620">
              <w:rPr>
                <w:sz w:val="22"/>
              </w:rPr>
              <w:t>Net investment in direct finance leases</w:t>
            </w:r>
            <w:r w:rsidRPr="00E31620">
              <w:rPr>
                <w:sz w:val="22"/>
              </w:rPr>
              <w:tab/>
            </w:r>
          </w:p>
        </w:tc>
        <w:tc>
          <w:tcPr>
            <w:tcW w:w="746" w:type="pct"/>
            <w:tcBorders>
              <w:top w:val="nil"/>
              <w:left w:val="nil"/>
              <w:bottom w:val="nil"/>
              <w:right w:val="nil"/>
            </w:tcBorders>
            <w:vAlign w:val="bottom"/>
          </w:tcPr>
          <w:p w:rsidR="00CA14BE" w:rsidRPr="005E67A4" w:rsidRDefault="009973F1"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2</w:t>
            </w:r>
            <w:r w:rsidR="005E67A4" w:rsidRPr="005E67A4">
              <w:rPr>
                <w:sz w:val="22"/>
              </w:rPr>
              <w:t>1</w:t>
            </w:r>
            <w:r w:rsidR="00CA14BE" w:rsidRPr="005E67A4">
              <w:rPr>
                <w:sz w:val="22"/>
              </w:rPr>
              <w:t>,</w:t>
            </w:r>
            <w:r w:rsidR="005E67A4" w:rsidRPr="005E67A4">
              <w:rPr>
                <w:sz w:val="22"/>
              </w:rPr>
              <w:t>518</w:t>
            </w:r>
          </w:p>
        </w:tc>
        <w:tc>
          <w:tcPr>
            <w:tcW w:w="737" w:type="pct"/>
            <w:tcBorders>
              <w:top w:val="nil"/>
              <w:left w:val="nil"/>
              <w:bottom w:val="nil"/>
              <w:right w:val="nil"/>
            </w:tcBorders>
            <w:vAlign w:val="bottom"/>
          </w:tcPr>
          <w:p w:rsidR="00CA14BE" w:rsidRPr="005E67A4" w:rsidRDefault="009973F1"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1</w:t>
            </w:r>
            <w:r w:rsidR="005E67A4" w:rsidRPr="005E67A4">
              <w:rPr>
                <w:sz w:val="22"/>
              </w:rPr>
              <w:t>50</w:t>
            </w:r>
          </w:p>
        </w:tc>
        <w:tc>
          <w:tcPr>
            <w:tcW w:w="674" w:type="pct"/>
            <w:tcBorders>
              <w:top w:val="nil"/>
              <w:left w:val="nil"/>
              <w:bottom w:val="nil"/>
              <w:right w:val="nil"/>
            </w:tcBorders>
            <w:vAlign w:val="bottom"/>
          </w:tcPr>
          <w:p w:rsidR="00CA14BE" w:rsidRPr="005E67A4"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w:t>
            </w:r>
          </w:p>
        </w:tc>
        <w:tc>
          <w:tcPr>
            <w:tcW w:w="695" w:type="pct"/>
            <w:tcBorders>
              <w:top w:val="nil"/>
              <w:left w:val="nil"/>
              <w:bottom w:val="nil"/>
              <w:right w:val="nil"/>
            </w:tcBorders>
            <w:vAlign w:val="bottom"/>
          </w:tcPr>
          <w:p w:rsidR="00CA14BE" w:rsidRPr="005E67A4" w:rsidRDefault="00523DA1"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2</w:t>
            </w:r>
            <w:r w:rsidR="00C9237E" w:rsidRPr="005E67A4">
              <w:rPr>
                <w:sz w:val="22"/>
              </w:rPr>
              <w:t>1</w:t>
            </w:r>
            <w:r w:rsidR="00CA14BE" w:rsidRPr="005E67A4">
              <w:rPr>
                <w:sz w:val="22"/>
              </w:rPr>
              <w:t>,</w:t>
            </w:r>
            <w:r w:rsidR="00C9237E" w:rsidRPr="005E67A4">
              <w:rPr>
                <w:sz w:val="22"/>
              </w:rPr>
              <w:t>668</w:t>
            </w:r>
          </w:p>
        </w:tc>
      </w:tr>
      <w:tr w:rsidR="00DF3FE4" w:rsidRPr="0053635E" w:rsidTr="00813F31">
        <w:trPr>
          <w:cantSplit/>
          <w:jc w:val="center"/>
        </w:trPr>
        <w:tc>
          <w:tcPr>
            <w:tcW w:w="2148" w:type="pct"/>
            <w:tcBorders>
              <w:top w:val="nil"/>
              <w:left w:val="nil"/>
              <w:bottom w:val="nil"/>
              <w:right w:val="nil"/>
            </w:tcBorders>
          </w:tcPr>
          <w:p w:rsidR="00CA14BE" w:rsidRPr="00E31620" w:rsidRDefault="00CA14BE" w:rsidP="00DF3FE4">
            <w:pPr>
              <w:widowControl/>
              <w:suppressAutoHyphens/>
              <w:ind w:left="200" w:hanging="200"/>
              <w:rPr>
                <w:sz w:val="22"/>
              </w:rPr>
            </w:pPr>
            <w:r w:rsidRPr="00E31620">
              <w:rPr>
                <w:sz w:val="22"/>
              </w:rPr>
              <w:t>Leasing equipment</w:t>
            </w:r>
            <w:r w:rsidRPr="00E31620">
              <w:rPr>
                <w:sz w:val="22"/>
              </w:rPr>
              <w:tab/>
            </w:r>
          </w:p>
        </w:tc>
        <w:tc>
          <w:tcPr>
            <w:tcW w:w="746" w:type="pct"/>
            <w:tcBorders>
              <w:top w:val="nil"/>
              <w:left w:val="nil"/>
              <w:bottom w:val="nil"/>
              <w:right w:val="nil"/>
            </w:tcBorders>
            <w:vAlign w:val="bottom"/>
          </w:tcPr>
          <w:p w:rsidR="00CA14BE" w:rsidRPr="005E67A4" w:rsidRDefault="009973F1"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7</w:t>
            </w:r>
            <w:r w:rsidR="005E67A4" w:rsidRPr="005E67A4">
              <w:rPr>
                <w:sz w:val="22"/>
              </w:rPr>
              <w:t>49</w:t>
            </w:r>
            <w:r w:rsidR="00CA14BE" w:rsidRPr="005E67A4">
              <w:rPr>
                <w:sz w:val="22"/>
              </w:rPr>
              <w:t>,</w:t>
            </w:r>
            <w:r w:rsidR="005E67A4" w:rsidRPr="005E67A4">
              <w:rPr>
                <w:sz w:val="22"/>
              </w:rPr>
              <w:t>753</w:t>
            </w:r>
          </w:p>
        </w:tc>
        <w:tc>
          <w:tcPr>
            <w:tcW w:w="737" w:type="pct"/>
            <w:tcBorders>
              <w:top w:val="nil"/>
              <w:left w:val="nil"/>
              <w:bottom w:val="nil"/>
              <w:right w:val="nil"/>
            </w:tcBorders>
            <w:vAlign w:val="bottom"/>
          </w:tcPr>
          <w:p w:rsidR="00CA14BE" w:rsidRPr="005E67A4" w:rsidRDefault="00D63A54"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4</w:t>
            </w:r>
            <w:r w:rsidR="005E67A4" w:rsidRPr="005E67A4">
              <w:rPr>
                <w:sz w:val="22"/>
              </w:rPr>
              <w:t>62</w:t>
            </w:r>
            <w:r w:rsidR="00CA14BE" w:rsidRPr="005E67A4">
              <w:rPr>
                <w:sz w:val="22"/>
              </w:rPr>
              <w:t>,</w:t>
            </w:r>
            <w:r w:rsidR="005E67A4" w:rsidRPr="005E67A4">
              <w:rPr>
                <w:sz w:val="22"/>
              </w:rPr>
              <w:t>392</w:t>
            </w:r>
          </w:p>
        </w:tc>
        <w:tc>
          <w:tcPr>
            <w:tcW w:w="674" w:type="pct"/>
            <w:tcBorders>
              <w:top w:val="nil"/>
              <w:left w:val="nil"/>
              <w:bottom w:val="nil"/>
              <w:right w:val="nil"/>
            </w:tcBorders>
            <w:vAlign w:val="bottom"/>
          </w:tcPr>
          <w:p w:rsidR="00CA14BE" w:rsidRPr="005E67A4" w:rsidRDefault="00695F27"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1</w:t>
            </w:r>
            <w:r w:rsidR="00313EC0" w:rsidRPr="005E67A4">
              <w:rPr>
                <w:sz w:val="22"/>
              </w:rPr>
              <w:t>7</w:t>
            </w:r>
            <w:r w:rsidR="005E67A4" w:rsidRPr="005E67A4">
              <w:rPr>
                <w:sz w:val="22"/>
              </w:rPr>
              <w:t>4</w:t>
            </w:r>
            <w:r w:rsidRPr="005E67A4">
              <w:rPr>
                <w:sz w:val="22"/>
              </w:rPr>
              <w:t>,</w:t>
            </w:r>
            <w:r w:rsidR="005E67A4" w:rsidRPr="005E67A4">
              <w:rPr>
                <w:sz w:val="22"/>
              </w:rPr>
              <w:t>892</w:t>
            </w:r>
          </w:p>
        </w:tc>
        <w:tc>
          <w:tcPr>
            <w:tcW w:w="695" w:type="pct"/>
            <w:tcBorders>
              <w:top w:val="nil"/>
              <w:left w:val="nil"/>
              <w:bottom w:val="nil"/>
              <w:right w:val="nil"/>
            </w:tcBorders>
            <w:vAlign w:val="bottom"/>
          </w:tcPr>
          <w:p w:rsidR="00CA14BE" w:rsidRPr="005E67A4" w:rsidRDefault="00CA14BE"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E67A4">
              <w:rPr>
                <w:sz w:val="22"/>
              </w:rPr>
              <w:t>1,</w:t>
            </w:r>
            <w:r w:rsidR="00C9237E" w:rsidRPr="005E67A4">
              <w:rPr>
                <w:sz w:val="22"/>
              </w:rPr>
              <w:t>387</w:t>
            </w:r>
            <w:r w:rsidRPr="005E67A4">
              <w:rPr>
                <w:sz w:val="22"/>
              </w:rPr>
              <w:t>,</w:t>
            </w:r>
            <w:r w:rsidR="00C9237E" w:rsidRPr="005E67A4">
              <w:rPr>
                <w:sz w:val="22"/>
              </w:rPr>
              <w:t>038</w:t>
            </w:r>
          </w:p>
        </w:tc>
      </w:tr>
      <w:tr w:rsidR="00DF3FE4" w:rsidRPr="0053635E" w:rsidTr="00813F31">
        <w:trPr>
          <w:cantSplit/>
          <w:jc w:val="center"/>
        </w:trPr>
        <w:tc>
          <w:tcPr>
            <w:tcW w:w="2148" w:type="pct"/>
            <w:tcBorders>
              <w:top w:val="nil"/>
              <w:left w:val="nil"/>
              <w:bottom w:val="nil"/>
              <w:right w:val="nil"/>
            </w:tcBorders>
          </w:tcPr>
          <w:p w:rsidR="00CA14BE" w:rsidRPr="00E31620" w:rsidRDefault="00CA14BE" w:rsidP="00DF3FE4">
            <w:pPr>
              <w:widowControl/>
              <w:suppressAutoHyphens/>
              <w:ind w:left="200" w:hanging="200"/>
              <w:rPr>
                <w:sz w:val="22"/>
              </w:rPr>
            </w:pPr>
            <w:r w:rsidRPr="00E31620">
              <w:rPr>
                <w:sz w:val="22"/>
              </w:rPr>
              <w:t>Capital expenditures for long</w:t>
            </w:r>
            <w:r w:rsidR="00744A72" w:rsidRPr="00E31620">
              <w:rPr>
                <w:sz w:val="22"/>
              </w:rPr>
              <w:t>-</w:t>
            </w:r>
            <w:r w:rsidRPr="00E31620">
              <w:rPr>
                <w:sz w:val="22"/>
              </w:rPr>
              <w:t>lived assets</w:t>
            </w:r>
          </w:p>
        </w:tc>
        <w:tc>
          <w:tcPr>
            <w:tcW w:w="746" w:type="pct"/>
            <w:tcBorders>
              <w:top w:val="nil"/>
              <w:left w:val="nil"/>
              <w:bottom w:val="nil"/>
              <w:right w:val="nil"/>
            </w:tcBorders>
            <w:vAlign w:val="bottom"/>
          </w:tcPr>
          <w:p w:rsidR="00CA14BE" w:rsidRPr="001523F7" w:rsidRDefault="005E67A4"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1523F7">
              <w:rPr>
                <w:sz w:val="22"/>
              </w:rPr>
              <w:t>14</w:t>
            </w:r>
            <w:r w:rsidR="009973F1" w:rsidRPr="001523F7">
              <w:rPr>
                <w:sz w:val="22"/>
              </w:rPr>
              <w:t>,</w:t>
            </w:r>
            <w:r w:rsidRPr="001523F7">
              <w:rPr>
                <w:sz w:val="22"/>
              </w:rPr>
              <w:t>910</w:t>
            </w:r>
          </w:p>
        </w:tc>
        <w:tc>
          <w:tcPr>
            <w:tcW w:w="737" w:type="pct"/>
            <w:tcBorders>
              <w:top w:val="nil"/>
              <w:left w:val="nil"/>
              <w:bottom w:val="nil"/>
              <w:right w:val="nil"/>
            </w:tcBorders>
            <w:vAlign w:val="bottom"/>
          </w:tcPr>
          <w:p w:rsidR="00CA14BE" w:rsidRPr="001523F7" w:rsidRDefault="005E67A4" w:rsidP="001523F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1523F7">
              <w:rPr>
                <w:sz w:val="22"/>
              </w:rPr>
              <w:t>86</w:t>
            </w:r>
            <w:r w:rsidR="001523F7" w:rsidRPr="001523F7">
              <w:rPr>
                <w:sz w:val="22"/>
              </w:rPr>
              <w:t>7</w:t>
            </w:r>
          </w:p>
        </w:tc>
        <w:tc>
          <w:tcPr>
            <w:tcW w:w="674" w:type="pct"/>
            <w:tcBorders>
              <w:top w:val="nil"/>
              <w:left w:val="nil"/>
              <w:bottom w:val="nil"/>
              <w:right w:val="nil"/>
            </w:tcBorders>
            <w:vAlign w:val="bottom"/>
          </w:tcPr>
          <w:p w:rsidR="00CA14BE" w:rsidRPr="001523F7" w:rsidRDefault="005E67A4" w:rsidP="005E67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1523F7">
              <w:rPr>
                <w:sz w:val="22"/>
              </w:rPr>
              <w:t>631</w:t>
            </w:r>
          </w:p>
        </w:tc>
        <w:tc>
          <w:tcPr>
            <w:tcW w:w="695" w:type="pct"/>
            <w:tcBorders>
              <w:top w:val="nil"/>
              <w:left w:val="nil"/>
              <w:bottom w:val="nil"/>
              <w:right w:val="nil"/>
            </w:tcBorders>
            <w:vAlign w:val="bottom"/>
          </w:tcPr>
          <w:p w:rsidR="00CA14BE" w:rsidRPr="001523F7" w:rsidRDefault="00C9237E" w:rsidP="001523F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1523F7">
              <w:rPr>
                <w:sz w:val="22"/>
              </w:rPr>
              <w:t>16</w:t>
            </w:r>
            <w:r w:rsidR="00523DA1" w:rsidRPr="001523F7">
              <w:rPr>
                <w:sz w:val="22"/>
              </w:rPr>
              <w:t>,</w:t>
            </w:r>
            <w:r w:rsidR="001523F7" w:rsidRPr="001523F7">
              <w:rPr>
                <w:sz w:val="22"/>
              </w:rPr>
              <w:t>408</w:t>
            </w:r>
          </w:p>
        </w:tc>
      </w:tr>
    </w:tbl>
    <w:p w:rsidR="00FD758B" w:rsidRDefault="00813F31" w:rsidP="00CE4A78">
      <w:pPr>
        <w:keepNext/>
        <w:keepLines/>
        <w:widowControl/>
        <w:tabs>
          <w:tab w:val="left" w:pos="-720"/>
          <w:tab w:val="left" w:pos="720"/>
          <w:tab w:val="left" w:pos="1440"/>
        </w:tabs>
        <w:suppressAutoHyphens/>
        <w:spacing w:after="240"/>
        <w:jc w:val="both"/>
        <w:rPr>
          <w:b/>
          <w:bCs/>
          <w:sz w:val="22"/>
        </w:rPr>
      </w:pPr>
      <w:r w:rsidRPr="00E31620">
        <w:rPr>
          <w:b/>
          <w:bCs/>
          <w:sz w:val="22"/>
        </w:rPr>
        <w:lastRenderedPageBreak/>
        <w:t>1</w:t>
      </w:r>
      <w:r>
        <w:rPr>
          <w:b/>
          <w:bCs/>
          <w:sz w:val="22"/>
        </w:rPr>
        <w:t>1</w:t>
      </w:r>
      <w:r w:rsidRPr="00E31620">
        <w:rPr>
          <w:b/>
          <w:bCs/>
          <w:sz w:val="22"/>
        </w:rPr>
        <w:t>. Segment and Geographic Information</w:t>
      </w:r>
      <w:r>
        <w:rPr>
          <w:b/>
          <w:bCs/>
          <w:sz w:val="22"/>
        </w:rPr>
        <w:t xml:space="preserve"> (continued)</w:t>
      </w:r>
    </w:p>
    <w:tbl>
      <w:tblPr>
        <w:tblpPr w:leftFromText="180" w:rightFromText="180" w:vertAnchor="text" w:horzAnchor="margin" w:tblpY="391"/>
        <w:tblW w:w="4714" w:type="pct"/>
        <w:tblCellMar>
          <w:left w:w="72" w:type="dxa"/>
          <w:right w:w="72" w:type="dxa"/>
        </w:tblCellMar>
        <w:tblLook w:val="0000" w:firstRow="0" w:lastRow="0" w:firstColumn="0" w:lastColumn="0" w:noHBand="0" w:noVBand="0"/>
      </w:tblPr>
      <w:tblGrid>
        <w:gridCol w:w="4141"/>
        <w:gridCol w:w="1438"/>
        <w:gridCol w:w="1421"/>
        <w:gridCol w:w="1299"/>
        <w:gridCol w:w="1340"/>
      </w:tblGrid>
      <w:tr w:rsidR="00813F31" w:rsidRPr="00E31620" w:rsidTr="00813F31">
        <w:trPr>
          <w:cantSplit/>
        </w:trPr>
        <w:tc>
          <w:tcPr>
            <w:tcW w:w="2148" w:type="pct"/>
            <w:tcBorders>
              <w:top w:val="nil"/>
              <w:left w:val="nil"/>
              <w:bottom w:val="nil"/>
              <w:right w:val="nil"/>
            </w:tcBorders>
            <w:vAlign w:val="bottom"/>
          </w:tcPr>
          <w:p w:rsidR="00813F31" w:rsidRPr="00E31620" w:rsidRDefault="00813F31" w:rsidP="00813F3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22"/>
              </w:rPr>
            </w:pPr>
            <w:r w:rsidRPr="00E31620">
              <w:rPr>
                <w:b/>
                <w:bCs/>
                <w:sz w:val="22"/>
              </w:rPr>
              <w:t>Three Months ended March 31, 2013</w:t>
            </w:r>
          </w:p>
        </w:tc>
        <w:tc>
          <w:tcPr>
            <w:tcW w:w="746" w:type="pct"/>
            <w:tcBorders>
              <w:top w:val="nil"/>
              <w:left w:val="nil"/>
              <w:bottom w:val="nil"/>
              <w:right w:val="nil"/>
            </w:tcBorders>
            <w:vAlign w:val="bottom"/>
          </w:tcPr>
          <w:p w:rsidR="00813F31" w:rsidRPr="00E31620" w:rsidRDefault="00813F31" w:rsidP="00813F3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E31620">
              <w:rPr>
                <w:b/>
                <w:bCs/>
                <w:sz w:val="22"/>
              </w:rPr>
              <w:t>Marine</w:t>
            </w:r>
            <w:r w:rsidRPr="00E31620">
              <w:rPr>
                <w:b/>
                <w:bCs/>
                <w:sz w:val="22"/>
              </w:rPr>
              <w:br/>
              <w:t>Market</w:t>
            </w:r>
            <w:r w:rsidRPr="00E31620">
              <w:rPr>
                <w:b/>
                <w:bCs/>
                <w:sz w:val="22"/>
              </w:rPr>
              <w:br/>
              <w:t>segment</w:t>
            </w:r>
          </w:p>
        </w:tc>
        <w:tc>
          <w:tcPr>
            <w:tcW w:w="737" w:type="pct"/>
            <w:tcBorders>
              <w:top w:val="nil"/>
              <w:left w:val="nil"/>
              <w:bottom w:val="nil"/>
              <w:right w:val="nil"/>
            </w:tcBorders>
            <w:vAlign w:val="bottom"/>
          </w:tcPr>
          <w:p w:rsidR="00813F31" w:rsidRPr="00E31620" w:rsidRDefault="00813F31" w:rsidP="00813F3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E31620">
              <w:rPr>
                <w:b/>
                <w:bCs/>
                <w:sz w:val="22"/>
              </w:rPr>
              <w:t>Domestic</w:t>
            </w:r>
            <w:r w:rsidRPr="00E31620">
              <w:rPr>
                <w:b/>
                <w:bCs/>
                <w:sz w:val="22"/>
              </w:rPr>
              <w:br/>
              <w:t>Market</w:t>
            </w:r>
            <w:r w:rsidRPr="00E31620">
              <w:rPr>
                <w:b/>
                <w:bCs/>
                <w:sz w:val="22"/>
              </w:rPr>
              <w:br/>
              <w:t>segment</w:t>
            </w:r>
          </w:p>
        </w:tc>
        <w:tc>
          <w:tcPr>
            <w:tcW w:w="674" w:type="pct"/>
            <w:tcBorders>
              <w:top w:val="nil"/>
              <w:left w:val="nil"/>
              <w:bottom w:val="nil"/>
              <w:right w:val="nil"/>
            </w:tcBorders>
            <w:vAlign w:val="bottom"/>
          </w:tcPr>
          <w:p w:rsidR="00813F31" w:rsidRPr="00E31620" w:rsidRDefault="00813F31" w:rsidP="00813F3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E31620">
              <w:rPr>
                <w:b/>
                <w:bCs/>
                <w:sz w:val="22"/>
              </w:rPr>
              <w:t>Other</w:t>
            </w:r>
          </w:p>
        </w:tc>
        <w:tc>
          <w:tcPr>
            <w:tcW w:w="695" w:type="pct"/>
            <w:tcBorders>
              <w:top w:val="nil"/>
              <w:left w:val="nil"/>
              <w:bottom w:val="nil"/>
              <w:right w:val="nil"/>
            </w:tcBorders>
            <w:vAlign w:val="bottom"/>
          </w:tcPr>
          <w:p w:rsidR="00813F31" w:rsidRPr="00E31620" w:rsidRDefault="00813F31" w:rsidP="00813F3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E31620">
              <w:rPr>
                <w:b/>
                <w:bCs/>
                <w:sz w:val="22"/>
              </w:rPr>
              <w:t>Total</w:t>
            </w:r>
          </w:p>
        </w:tc>
      </w:tr>
      <w:tr w:rsidR="00813F31" w:rsidRPr="00E31620" w:rsidTr="00813F31">
        <w:trPr>
          <w:cantSplit/>
        </w:trPr>
        <w:tc>
          <w:tcPr>
            <w:tcW w:w="2148" w:type="pct"/>
            <w:tcBorders>
              <w:top w:val="nil"/>
              <w:left w:val="nil"/>
              <w:bottom w:val="nil"/>
              <w:right w:val="nil"/>
            </w:tcBorders>
          </w:tcPr>
          <w:p w:rsidR="00813F31" w:rsidRPr="00E31620" w:rsidRDefault="00813F31" w:rsidP="00813F31">
            <w:pPr>
              <w:widowControl/>
              <w:suppressAutoHyphens/>
              <w:ind w:left="200" w:hanging="200"/>
              <w:rPr>
                <w:sz w:val="22"/>
              </w:rPr>
            </w:pPr>
            <w:r w:rsidRPr="00E31620">
              <w:rPr>
                <w:sz w:val="22"/>
              </w:rPr>
              <w:t>Term revenue</w:t>
            </w:r>
            <w:r w:rsidRPr="00E31620">
              <w:rPr>
                <w:sz w:val="22"/>
              </w:rPr>
              <w:tab/>
            </w:r>
          </w:p>
        </w:tc>
        <w:tc>
          <w:tcPr>
            <w:tcW w:w="746"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          1</w:t>
            </w:r>
            <w:r>
              <w:rPr>
                <w:sz w:val="22"/>
              </w:rPr>
              <w:t>4</w:t>
            </w:r>
            <w:r w:rsidRPr="00E31620">
              <w:rPr>
                <w:sz w:val="22"/>
              </w:rPr>
              <w:t>,</w:t>
            </w:r>
            <w:r>
              <w:rPr>
                <w:sz w:val="22"/>
              </w:rPr>
              <w:t>593</w:t>
            </w:r>
          </w:p>
        </w:tc>
        <w:tc>
          <w:tcPr>
            <w:tcW w:w="737"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            4,</w:t>
            </w:r>
            <w:r>
              <w:rPr>
                <w:sz w:val="22"/>
              </w:rPr>
              <w:t>523</w:t>
            </w:r>
          </w:p>
        </w:tc>
        <w:tc>
          <w:tcPr>
            <w:tcW w:w="674"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               —</w:t>
            </w:r>
          </w:p>
        </w:tc>
        <w:tc>
          <w:tcPr>
            <w:tcW w:w="695"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 xml:space="preserve">$        </w:t>
            </w:r>
            <w:r>
              <w:rPr>
                <w:sz w:val="22"/>
              </w:rPr>
              <w:t>19</w:t>
            </w:r>
            <w:r w:rsidRPr="00E31620">
              <w:rPr>
                <w:sz w:val="22"/>
              </w:rPr>
              <w:t>,</w:t>
            </w:r>
            <w:r>
              <w:rPr>
                <w:sz w:val="22"/>
              </w:rPr>
              <w:t>116</w:t>
            </w:r>
          </w:p>
        </w:tc>
      </w:tr>
      <w:tr w:rsidR="00813F31" w:rsidRPr="00E31620" w:rsidTr="00813F31">
        <w:trPr>
          <w:cantSplit/>
        </w:trPr>
        <w:tc>
          <w:tcPr>
            <w:tcW w:w="2148" w:type="pct"/>
            <w:tcBorders>
              <w:top w:val="nil"/>
              <w:left w:val="nil"/>
              <w:bottom w:val="nil"/>
              <w:right w:val="nil"/>
            </w:tcBorders>
          </w:tcPr>
          <w:p w:rsidR="00813F31" w:rsidRPr="00E31620" w:rsidRDefault="00813F31" w:rsidP="00813F31">
            <w:pPr>
              <w:widowControl/>
              <w:suppressAutoHyphens/>
              <w:ind w:left="200" w:hanging="200"/>
              <w:rPr>
                <w:sz w:val="22"/>
              </w:rPr>
            </w:pPr>
            <w:r w:rsidRPr="00E31620">
              <w:rPr>
                <w:sz w:val="22"/>
              </w:rPr>
              <w:t>Pool revenue</w:t>
            </w:r>
            <w:r w:rsidRPr="00E31620">
              <w:rPr>
                <w:sz w:val="22"/>
              </w:rPr>
              <w:tab/>
            </w:r>
          </w:p>
        </w:tc>
        <w:tc>
          <w:tcPr>
            <w:tcW w:w="746"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57</w:t>
            </w:r>
            <w:r w:rsidRPr="00E31620">
              <w:rPr>
                <w:sz w:val="22"/>
              </w:rPr>
              <w:t>,</w:t>
            </w:r>
            <w:r>
              <w:rPr>
                <w:sz w:val="22"/>
              </w:rPr>
              <w:t>019</w:t>
            </w:r>
          </w:p>
        </w:tc>
        <w:tc>
          <w:tcPr>
            <w:tcW w:w="737"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31,</w:t>
            </w:r>
            <w:r>
              <w:rPr>
                <w:sz w:val="22"/>
              </w:rPr>
              <w:t>412</w:t>
            </w:r>
          </w:p>
        </w:tc>
        <w:tc>
          <w:tcPr>
            <w:tcW w:w="674"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w:t>
            </w:r>
          </w:p>
        </w:tc>
        <w:tc>
          <w:tcPr>
            <w:tcW w:w="695"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88</w:t>
            </w:r>
            <w:r w:rsidRPr="00E31620">
              <w:rPr>
                <w:sz w:val="22"/>
              </w:rPr>
              <w:t>,</w:t>
            </w:r>
            <w:r>
              <w:rPr>
                <w:sz w:val="22"/>
              </w:rPr>
              <w:t>431</w:t>
            </w:r>
          </w:p>
        </w:tc>
      </w:tr>
      <w:tr w:rsidR="00813F31" w:rsidRPr="00E31620" w:rsidTr="00813F31">
        <w:trPr>
          <w:cantSplit/>
        </w:trPr>
        <w:tc>
          <w:tcPr>
            <w:tcW w:w="2148" w:type="pct"/>
            <w:tcBorders>
              <w:top w:val="nil"/>
              <w:left w:val="nil"/>
              <w:bottom w:val="nil"/>
              <w:right w:val="nil"/>
            </w:tcBorders>
          </w:tcPr>
          <w:p w:rsidR="00813F31" w:rsidRPr="00E31620" w:rsidRDefault="00813F31" w:rsidP="00813F31">
            <w:pPr>
              <w:widowControl/>
              <w:suppressAutoHyphens/>
              <w:spacing w:after="20"/>
              <w:ind w:left="200" w:hanging="200"/>
              <w:rPr>
                <w:sz w:val="22"/>
              </w:rPr>
            </w:pPr>
            <w:r w:rsidRPr="00E31620">
              <w:rPr>
                <w:sz w:val="22"/>
              </w:rPr>
              <w:t>All other revenue</w:t>
            </w:r>
            <w:r w:rsidRPr="00E31620">
              <w:rPr>
                <w:sz w:val="22"/>
              </w:rPr>
              <w:tab/>
            </w:r>
          </w:p>
        </w:tc>
        <w:tc>
          <w:tcPr>
            <w:tcW w:w="746" w:type="pct"/>
            <w:tcBorders>
              <w:top w:val="nil"/>
              <w:left w:val="nil"/>
              <w:bottom w:val="nil"/>
              <w:right w:val="nil"/>
            </w:tcBorders>
            <w:vAlign w:val="bottom"/>
          </w:tcPr>
          <w:p w:rsidR="00813F31" w:rsidRPr="00E31620" w:rsidRDefault="00813F31" w:rsidP="00813F3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Pr>
                <w:sz w:val="22"/>
              </w:rPr>
              <w:t>4</w:t>
            </w:r>
            <w:r w:rsidRPr="00E31620">
              <w:rPr>
                <w:sz w:val="22"/>
              </w:rPr>
              <w:t>,</w:t>
            </w:r>
            <w:r>
              <w:rPr>
                <w:sz w:val="22"/>
              </w:rPr>
              <w:t>205</w:t>
            </w:r>
          </w:p>
        </w:tc>
        <w:tc>
          <w:tcPr>
            <w:tcW w:w="737" w:type="pct"/>
            <w:tcBorders>
              <w:top w:val="nil"/>
              <w:left w:val="nil"/>
              <w:bottom w:val="nil"/>
              <w:right w:val="nil"/>
            </w:tcBorders>
            <w:vAlign w:val="bottom"/>
          </w:tcPr>
          <w:p w:rsidR="00813F31" w:rsidRPr="00E31620" w:rsidRDefault="00813F31" w:rsidP="00813F3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Pr>
                <w:sz w:val="22"/>
              </w:rPr>
              <w:t>1</w:t>
            </w:r>
            <w:r w:rsidRPr="00E31620">
              <w:rPr>
                <w:sz w:val="22"/>
              </w:rPr>
              <w:t>,</w:t>
            </w:r>
            <w:r>
              <w:rPr>
                <w:sz w:val="22"/>
              </w:rPr>
              <w:t>354</w:t>
            </w:r>
          </w:p>
        </w:tc>
        <w:tc>
          <w:tcPr>
            <w:tcW w:w="674" w:type="pct"/>
            <w:tcBorders>
              <w:top w:val="nil"/>
              <w:left w:val="nil"/>
              <w:bottom w:val="nil"/>
              <w:right w:val="nil"/>
            </w:tcBorders>
            <w:vAlign w:val="bottom"/>
          </w:tcPr>
          <w:p w:rsidR="00813F31" w:rsidRPr="00E31620" w:rsidRDefault="00813F31" w:rsidP="00813F3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Pr>
                <w:sz w:val="22"/>
              </w:rPr>
              <w:t>4</w:t>
            </w:r>
            <w:r w:rsidRPr="00E31620">
              <w:rPr>
                <w:sz w:val="22"/>
              </w:rPr>
              <w:t>,</w:t>
            </w:r>
            <w:r>
              <w:rPr>
                <w:sz w:val="22"/>
              </w:rPr>
              <w:t>793</w:t>
            </w:r>
          </w:p>
        </w:tc>
        <w:tc>
          <w:tcPr>
            <w:tcW w:w="695" w:type="pct"/>
            <w:tcBorders>
              <w:top w:val="nil"/>
              <w:left w:val="nil"/>
              <w:bottom w:val="nil"/>
              <w:right w:val="nil"/>
            </w:tcBorders>
            <w:vAlign w:val="bottom"/>
          </w:tcPr>
          <w:p w:rsidR="00813F31" w:rsidRPr="00E31620" w:rsidRDefault="00813F31" w:rsidP="00813F3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E31620">
              <w:rPr>
                <w:sz w:val="22"/>
              </w:rPr>
              <w:t>1</w:t>
            </w:r>
            <w:r>
              <w:rPr>
                <w:sz w:val="22"/>
              </w:rPr>
              <w:t>0</w:t>
            </w:r>
            <w:r w:rsidRPr="00E31620">
              <w:rPr>
                <w:sz w:val="22"/>
              </w:rPr>
              <w:t>,</w:t>
            </w:r>
            <w:r>
              <w:rPr>
                <w:sz w:val="22"/>
              </w:rPr>
              <w:t>352</w:t>
            </w:r>
          </w:p>
        </w:tc>
      </w:tr>
      <w:tr w:rsidR="00813F31" w:rsidRPr="00E31620" w:rsidTr="00813F31">
        <w:trPr>
          <w:cantSplit/>
        </w:trPr>
        <w:tc>
          <w:tcPr>
            <w:tcW w:w="2148" w:type="pct"/>
            <w:tcBorders>
              <w:top w:val="nil"/>
              <w:left w:val="nil"/>
              <w:bottom w:val="nil"/>
              <w:right w:val="nil"/>
            </w:tcBorders>
          </w:tcPr>
          <w:p w:rsidR="00813F31" w:rsidRPr="00E31620" w:rsidRDefault="00813F31" w:rsidP="00813F31">
            <w:pPr>
              <w:widowControl/>
              <w:suppressAutoHyphens/>
              <w:ind w:left="200" w:hanging="200"/>
              <w:rPr>
                <w:sz w:val="22"/>
              </w:rPr>
            </w:pPr>
            <w:r w:rsidRPr="00E31620">
              <w:rPr>
                <w:sz w:val="22"/>
              </w:rPr>
              <w:t>Total revenue</w:t>
            </w:r>
            <w:r w:rsidRPr="00E31620">
              <w:rPr>
                <w:sz w:val="22"/>
              </w:rPr>
              <w:tab/>
            </w:r>
          </w:p>
        </w:tc>
        <w:tc>
          <w:tcPr>
            <w:tcW w:w="746"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 xml:space="preserve">$          </w:t>
            </w:r>
            <w:r>
              <w:rPr>
                <w:sz w:val="22"/>
              </w:rPr>
              <w:t>75</w:t>
            </w:r>
            <w:r w:rsidRPr="00E31620">
              <w:rPr>
                <w:sz w:val="22"/>
              </w:rPr>
              <w:t>,</w:t>
            </w:r>
            <w:r>
              <w:rPr>
                <w:sz w:val="22"/>
              </w:rPr>
              <w:t>817</w:t>
            </w:r>
          </w:p>
        </w:tc>
        <w:tc>
          <w:tcPr>
            <w:tcW w:w="737"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          3</w:t>
            </w:r>
            <w:r>
              <w:rPr>
                <w:sz w:val="22"/>
              </w:rPr>
              <w:t>7</w:t>
            </w:r>
            <w:r w:rsidRPr="00E31620">
              <w:rPr>
                <w:sz w:val="22"/>
              </w:rPr>
              <w:t>,</w:t>
            </w:r>
            <w:r>
              <w:rPr>
                <w:sz w:val="22"/>
              </w:rPr>
              <w:t>289</w:t>
            </w:r>
          </w:p>
        </w:tc>
        <w:tc>
          <w:tcPr>
            <w:tcW w:w="674"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 xml:space="preserve">$          </w:t>
            </w:r>
            <w:r>
              <w:rPr>
                <w:sz w:val="22"/>
              </w:rPr>
              <w:t>4</w:t>
            </w:r>
            <w:r w:rsidRPr="00E31620">
              <w:rPr>
                <w:sz w:val="22"/>
              </w:rPr>
              <w:t>,</w:t>
            </w:r>
            <w:r>
              <w:rPr>
                <w:sz w:val="22"/>
              </w:rPr>
              <w:t>793</w:t>
            </w:r>
          </w:p>
        </w:tc>
        <w:tc>
          <w:tcPr>
            <w:tcW w:w="695"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      1</w:t>
            </w:r>
            <w:r>
              <w:rPr>
                <w:sz w:val="22"/>
              </w:rPr>
              <w:t>17</w:t>
            </w:r>
            <w:r w:rsidRPr="00E31620">
              <w:rPr>
                <w:sz w:val="22"/>
              </w:rPr>
              <w:t>,</w:t>
            </w:r>
            <w:r>
              <w:rPr>
                <w:sz w:val="22"/>
              </w:rPr>
              <w:t>899</w:t>
            </w:r>
          </w:p>
        </w:tc>
      </w:tr>
      <w:tr w:rsidR="00813F31" w:rsidRPr="00E31620" w:rsidTr="00813F31">
        <w:trPr>
          <w:cantSplit/>
        </w:trPr>
        <w:tc>
          <w:tcPr>
            <w:tcW w:w="2148" w:type="pct"/>
            <w:tcBorders>
              <w:top w:val="nil"/>
              <w:left w:val="nil"/>
              <w:bottom w:val="nil"/>
              <w:right w:val="nil"/>
            </w:tcBorders>
          </w:tcPr>
          <w:p w:rsidR="00813F31" w:rsidRPr="00E31620" w:rsidRDefault="00813F31" w:rsidP="00813F31">
            <w:pPr>
              <w:widowControl/>
              <w:suppressAutoHyphens/>
              <w:ind w:left="200" w:hanging="200"/>
              <w:rPr>
                <w:sz w:val="22"/>
              </w:rPr>
            </w:pPr>
            <w:r w:rsidRPr="00E31620">
              <w:rPr>
                <w:sz w:val="22"/>
              </w:rPr>
              <w:t>Adjusted EBITDA</w:t>
            </w:r>
            <w:r w:rsidRPr="00E31620">
              <w:rPr>
                <w:sz w:val="22"/>
              </w:rPr>
              <w:tab/>
            </w:r>
          </w:p>
        </w:tc>
        <w:tc>
          <w:tcPr>
            <w:tcW w:w="746"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2</w:t>
            </w:r>
            <w:r>
              <w:rPr>
                <w:sz w:val="22"/>
              </w:rPr>
              <w:t>5</w:t>
            </w:r>
            <w:r w:rsidRPr="00E31620">
              <w:rPr>
                <w:sz w:val="22"/>
              </w:rPr>
              <w:t>,</w:t>
            </w:r>
            <w:r>
              <w:rPr>
                <w:sz w:val="22"/>
              </w:rPr>
              <w:t>532</w:t>
            </w:r>
          </w:p>
        </w:tc>
        <w:tc>
          <w:tcPr>
            <w:tcW w:w="737"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1</w:t>
            </w:r>
            <w:r>
              <w:rPr>
                <w:sz w:val="22"/>
              </w:rPr>
              <w:t>8</w:t>
            </w:r>
            <w:r w:rsidRPr="00E31620">
              <w:rPr>
                <w:sz w:val="22"/>
              </w:rPr>
              <w:t>,</w:t>
            </w:r>
            <w:r>
              <w:rPr>
                <w:sz w:val="22"/>
              </w:rPr>
              <w:t>488</w:t>
            </w:r>
          </w:p>
        </w:tc>
        <w:tc>
          <w:tcPr>
            <w:tcW w:w="674"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w:t>
            </w:r>
            <w:r>
              <w:rPr>
                <w:sz w:val="22"/>
              </w:rPr>
              <w:t>1</w:t>
            </w:r>
            <w:r w:rsidRPr="00E31620">
              <w:rPr>
                <w:sz w:val="22"/>
              </w:rPr>
              <w:t>,</w:t>
            </w:r>
            <w:r>
              <w:rPr>
                <w:sz w:val="22"/>
              </w:rPr>
              <w:t>053</w:t>
            </w:r>
            <w:r w:rsidRPr="00E31620">
              <w:rPr>
                <w:sz w:val="22"/>
              </w:rPr>
              <w:t>)</w:t>
            </w:r>
          </w:p>
        </w:tc>
        <w:tc>
          <w:tcPr>
            <w:tcW w:w="695"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4</w:t>
            </w:r>
            <w:r>
              <w:rPr>
                <w:sz w:val="22"/>
              </w:rPr>
              <w:t>2</w:t>
            </w:r>
            <w:r w:rsidRPr="00E31620">
              <w:rPr>
                <w:sz w:val="22"/>
              </w:rPr>
              <w:t>,</w:t>
            </w:r>
            <w:r>
              <w:rPr>
                <w:sz w:val="22"/>
              </w:rPr>
              <w:t>967</w:t>
            </w:r>
          </w:p>
        </w:tc>
      </w:tr>
      <w:tr w:rsidR="00813F31" w:rsidRPr="00E31620" w:rsidTr="00813F31">
        <w:trPr>
          <w:cantSplit/>
        </w:trPr>
        <w:tc>
          <w:tcPr>
            <w:tcW w:w="2148" w:type="pct"/>
            <w:tcBorders>
              <w:top w:val="nil"/>
              <w:left w:val="nil"/>
              <w:bottom w:val="nil"/>
              <w:right w:val="nil"/>
            </w:tcBorders>
          </w:tcPr>
          <w:p w:rsidR="00813F31" w:rsidRPr="00E31620" w:rsidRDefault="00813F31" w:rsidP="00813F31">
            <w:pPr>
              <w:widowControl/>
              <w:suppressAutoHyphens/>
              <w:ind w:left="200" w:hanging="200"/>
              <w:rPr>
                <w:sz w:val="22"/>
              </w:rPr>
            </w:pPr>
            <w:r w:rsidRPr="00E31620">
              <w:rPr>
                <w:sz w:val="22"/>
              </w:rPr>
              <w:t>Depreciation expense</w:t>
            </w:r>
            <w:r w:rsidRPr="00E31620">
              <w:rPr>
                <w:sz w:val="22"/>
              </w:rPr>
              <w:tab/>
            </w:r>
          </w:p>
        </w:tc>
        <w:tc>
          <w:tcPr>
            <w:tcW w:w="746"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8</w:t>
            </w:r>
            <w:r w:rsidRPr="00E31620">
              <w:rPr>
                <w:sz w:val="22"/>
              </w:rPr>
              <w:t>,</w:t>
            </w:r>
            <w:r>
              <w:rPr>
                <w:sz w:val="22"/>
              </w:rPr>
              <w:t>189</w:t>
            </w:r>
          </w:p>
        </w:tc>
        <w:tc>
          <w:tcPr>
            <w:tcW w:w="737"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7</w:t>
            </w:r>
            <w:r w:rsidRPr="00E31620">
              <w:rPr>
                <w:sz w:val="22"/>
              </w:rPr>
              <w:t>,</w:t>
            </w:r>
            <w:r>
              <w:rPr>
                <w:sz w:val="22"/>
              </w:rPr>
              <w:t>413</w:t>
            </w:r>
          </w:p>
        </w:tc>
        <w:tc>
          <w:tcPr>
            <w:tcW w:w="674"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1,</w:t>
            </w:r>
            <w:r>
              <w:rPr>
                <w:sz w:val="22"/>
              </w:rPr>
              <w:t>672</w:t>
            </w:r>
          </w:p>
        </w:tc>
        <w:tc>
          <w:tcPr>
            <w:tcW w:w="695"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1</w:t>
            </w:r>
            <w:r>
              <w:rPr>
                <w:sz w:val="22"/>
              </w:rPr>
              <w:t>7</w:t>
            </w:r>
            <w:r w:rsidRPr="00E31620">
              <w:rPr>
                <w:sz w:val="22"/>
              </w:rPr>
              <w:t>,</w:t>
            </w:r>
            <w:r>
              <w:rPr>
                <w:sz w:val="22"/>
              </w:rPr>
              <w:t>274</w:t>
            </w:r>
          </w:p>
        </w:tc>
      </w:tr>
      <w:tr w:rsidR="00813F31" w:rsidRPr="00E31620" w:rsidTr="00813F31">
        <w:trPr>
          <w:cantSplit/>
        </w:trPr>
        <w:tc>
          <w:tcPr>
            <w:tcW w:w="2148" w:type="pct"/>
            <w:tcBorders>
              <w:top w:val="nil"/>
              <w:left w:val="nil"/>
              <w:bottom w:val="nil"/>
              <w:right w:val="nil"/>
            </w:tcBorders>
          </w:tcPr>
          <w:p w:rsidR="00813F31" w:rsidRPr="00E31620" w:rsidRDefault="00813F31" w:rsidP="00813F31">
            <w:pPr>
              <w:widowControl/>
              <w:suppressAutoHyphens/>
              <w:ind w:left="200" w:hanging="200"/>
              <w:rPr>
                <w:sz w:val="22"/>
              </w:rPr>
            </w:pPr>
            <w:r w:rsidRPr="00E31620">
              <w:rPr>
                <w:sz w:val="22"/>
              </w:rPr>
              <w:t>Net investment in direct finance leases</w:t>
            </w:r>
            <w:r w:rsidRPr="00E31620">
              <w:rPr>
                <w:sz w:val="22"/>
              </w:rPr>
              <w:tab/>
            </w:r>
          </w:p>
        </w:tc>
        <w:tc>
          <w:tcPr>
            <w:tcW w:w="746"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38</w:t>
            </w:r>
            <w:r w:rsidRPr="00E31620">
              <w:rPr>
                <w:sz w:val="22"/>
              </w:rPr>
              <w:t>,</w:t>
            </w:r>
            <w:r>
              <w:rPr>
                <w:sz w:val="22"/>
              </w:rPr>
              <w:t>121</w:t>
            </w:r>
          </w:p>
        </w:tc>
        <w:tc>
          <w:tcPr>
            <w:tcW w:w="737"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197</w:t>
            </w:r>
          </w:p>
        </w:tc>
        <w:tc>
          <w:tcPr>
            <w:tcW w:w="674"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w:t>
            </w:r>
          </w:p>
        </w:tc>
        <w:tc>
          <w:tcPr>
            <w:tcW w:w="695"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38</w:t>
            </w:r>
            <w:r w:rsidRPr="00E31620">
              <w:rPr>
                <w:sz w:val="22"/>
              </w:rPr>
              <w:t>,</w:t>
            </w:r>
            <w:r>
              <w:rPr>
                <w:sz w:val="22"/>
              </w:rPr>
              <w:t>318</w:t>
            </w:r>
          </w:p>
        </w:tc>
      </w:tr>
      <w:tr w:rsidR="00813F31" w:rsidRPr="00E31620" w:rsidTr="00813F31">
        <w:trPr>
          <w:cantSplit/>
        </w:trPr>
        <w:tc>
          <w:tcPr>
            <w:tcW w:w="2148" w:type="pct"/>
            <w:tcBorders>
              <w:top w:val="nil"/>
              <w:left w:val="nil"/>
              <w:bottom w:val="nil"/>
              <w:right w:val="nil"/>
            </w:tcBorders>
          </w:tcPr>
          <w:p w:rsidR="00813F31" w:rsidRPr="00E31620" w:rsidRDefault="00813F31" w:rsidP="00813F31">
            <w:pPr>
              <w:widowControl/>
              <w:suppressAutoHyphens/>
              <w:ind w:left="200" w:hanging="200"/>
              <w:rPr>
                <w:sz w:val="22"/>
              </w:rPr>
            </w:pPr>
            <w:r w:rsidRPr="00E31620">
              <w:rPr>
                <w:sz w:val="22"/>
              </w:rPr>
              <w:t>Leasing equipment</w:t>
            </w:r>
            <w:r w:rsidRPr="00E31620">
              <w:rPr>
                <w:sz w:val="22"/>
              </w:rPr>
              <w:tab/>
            </w:r>
          </w:p>
        </w:tc>
        <w:tc>
          <w:tcPr>
            <w:tcW w:w="746"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6</w:t>
            </w:r>
            <w:r>
              <w:rPr>
                <w:sz w:val="22"/>
              </w:rPr>
              <w:t>90</w:t>
            </w:r>
            <w:r w:rsidRPr="00E31620">
              <w:rPr>
                <w:sz w:val="22"/>
              </w:rPr>
              <w:t>,</w:t>
            </w:r>
            <w:r>
              <w:rPr>
                <w:sz w:val="22"/>
              </w:rPr>
              <w:t>501</w:t>
            </w:r>
          </w:p>
        </w:tc>
        <w:tc>
          <w:tcPr>
            <w:tcW w:w="737"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4</w:t>
            </w:r>
            <w:r>
              <w:rPr>
                <w:sz w:val="22"/>
              </w:rPr>
              <w:t>90</w:t>
            </w:r>
            <w:r w:rsidRPr="00E31620">
              <w:rPr>
                <w:sz w:val="22"/>
              </w:rPr>
              <w:t>,</w:t>
            </w:r>
            <w:r>
              <w:rPr>
                <w:sz w:val="22"/>
              </w:rPr>
              <w:t>323</w:t>
            </w:r>
          </w:p>
        </w:tc>
        <w:tc>
          <w:tcPr>
            <w:tcW w:w="674"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1</w:t>
            </w:r>
            <w:r>
              <w:rPr>
                <w:sz w:val="22"/>
              </w:rPr>
              <w:t>58</w:t>
            </w:r>
            <w:r w:rsidRPr="00E31620">
              <w:rPr>
                <w:sz w:val="22"/>
              </w:rPr>
              <w:t>,</w:t>
            </w:r>
            <w:r>
              <w:rPr>
                <w:sz w:val="22"/>
              </w:rPr>
              <w:t>542</w:t>
            </w:r>
          </w:p>
        </w:tc>
        <w:tc>
          <w:tcPr>
            <w:tcW w:w="695"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31620">
              <w:rPr>
                <w:sz w:val="22"/>
              </w:rPr>
              <w:t>1,</w:t>
            </w:r>
            <w:r>
              <w:rPr>
                <w:sz w:val="22"/>
              </w:rPr>
              <w:t>339</w:t>
            </w:r>
            <w:r w:rsidRPr="00E31620">
              <w:rPr>
                <w:sz w:val="22"/>
              </w:rPr>
              <w:t>,</w:t>
            </w:r>
            <w:r>
              <w:rPr>
                <w:sz w:val="22"/>
              </w:rPr>
              <w:t>366</w:t>
            </w:r>
          </w:p>
        </w:tc>
      </w:tr>
      <w:tr w:rsidR="00813F31" w:rsidRPr="0053635E" w:rsidTr="00813F31">
        <w:trPr>
          <w:cantSplit/>
        </w:trPr>
        <w:tc>
          <w:tcPr>
            <w:tcW w:w="2148" w:type="pct"/>
            <w:tcBorders>
              <w:top w:val="nil"/>
              <w:left w:val="nil"/>
              <w:bottom w:val="nil"/>
              <w:right w:val="nil"/>
            </w:tcBorders>
          </w:tcPr>
          <w:p w:rsidR="00813F31" w:rsidRPr="00E31620" w:rsidRDefault="00813F31" w:rsidP="00813F31">
            <w:pPr>
              <w:widowControl/>
              <w:suppressAutoHyphens/>
              <w:ind w:left="200" w:hanging="200"/>
              <w:rPr>
                <w:sz w:val="22"/>
              </w:rPr>
            </w:pPr>
            <w:r w:rsidRPr="00E31620">
              <w:rPr>
                <w:sz w:val="22"/>
              </w:rPr>
              <w:t>Capital expenditures for long-lived assets</w:t>
            </w:r>
          </w:p>
        </w:tc>
        <w:tc>
          <w:tcPr>
            <w:tcW w:w="746"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7</w:t>
            </w:r>
            <w:r w:rsidRPr="00E31620">
              <w:rPr>
                <w:sz w:val="22"/>
              </w:rPr>
              <w:t>,</w:t>
            </w:r>
            <w:r>
              <w:rPr>
                <w:sz w:val="22"/>
              </w:rPr>
              <w:t>041</w:t>
            </w:r>
          </w:p>
        </w:tc>
        <w:tc>
          <w:tcPr>
            <w:tcW w:w="737"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26</w:t>
            </w:r>
            <w:r w:rsidRPr="00E31620">
              <w:rPr>
                <w:sz w:val="22"/>
              </w:rPr>
              <w:t>,</w:t>
            </w:r>
            <w:r>
              <w:rPr>
                <w:sz w:val="22"/>
              </w:rPr>
              <w:t>437</w:t>
            </w:r>
          </w:p>
        </w:tc>
        <w:tc>
          <w:tcPr>
            <w:tcW w:w="674"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783</w:t>
            </w:r>
          </w:p>
        </w:tc>
        <w:tc>
          <w:tcPr>
            <w:tcW w:w="695" w:type="pct"/>
            <w:tcBorders>
              <w:top w:val="nil"/>
              <w:left w:val="nil"/>
              <w:bottom w:val="nil"/>
              <w:right w:val="nil"/>
            </w:tcBorders>
            <w:vAlign w:val="bottom"/>
          </w:tcPr>
          <w:p w:rsidR="00813F31" w:rsidRPr="00E31620"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34</w:t>
            </w:r>
            <w:r w:rsidRPr="00E31620">
              <w:rPr>
                <w:sz w:val="22"/>
              </w:rPr>
              <w:t>,</w:t>
            </w:r>
            <w:r>
              <w:rPr>
                <w:sz w:val="22"/>
              </w:rPr>
              <w:t>261</w:t>
            </w:r>
          </w:p>
        </w:tc>
      </w:tr>
      <w:tr w:rsidR="00813F31" w:rsidRPr="0053635E" w:rsidTr="00813F31">
        <w:trPr>
          <w:cantSplit/>
        </w:trPr>
        <w:tc>
          <w:tcPr>
            <w:tcW w:w="2148" w:type="pct"/>
            <w:tcBorders>
              <w:top w:val="nil"/>
              <w:left w:val="nil"/>
              <w:bottom w:val="nil"/>
              <w:right w:val="nil"/>
            </w:tcBorders>
          </w:tcPr>
          <w:p w:rsidR="00813F31" w:rsidRPr="00E31620" w:rsidRDefault="00813F31" w:rsidP="00813F31">
            <w:pPr>
              <w:widowControl/>
              <w:suppressAutoHyphens/>
              <w:ind w:left="200" w:hanging="200"/>
              <w:rPr>
                <w:sz w:val="22"/>
              </w:rPr>
            </w:pPr>
          </w:p>
        </w:tc>
        <w:tc>
          <w:tcPr>
            <w:tcW w:w="746" w:type="pct"/>
            <w:tcBorders>
              <w:top w:val="nil"/>
              <w:left w:val="nil"/>
              <w:bottom w:val="nil"/>
              <w:right w:val="nil"/>
            </w:tcBorders>
            <w:vAlign w:val="bottom"/>
          </w:tcPr>
          <w:p w:rsidR="00813F31"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737" w:type="pct"/>
            <w:tcBorders>
              <w:top w:val="nil"/>
              <w:left w:val="nil"/>
              <w:bottom w:val="nil"/>
              <w:right w:val="nil"/>
            </w:tcBorders>
            <w:vAlign w:val="bottom"/>
          </w:tcPr>
          <w:p w:rsidR="00813F31"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674" w:type="pct"/>
            <w:tcBorders>
              <w:top w:val="nil"/>
              <w:left w:val="nil"/>
              <w:bottom w:val="nil"/>
              <w:right w:val="nil"/>
            </w:tcBorders>
            <w:vAlign w:val="bottom"/>
          </w:tcPr>
          <w:p w:rsidR="00813F31"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695" w:type="pct"/>
            <w:tcBorders>
              <w:top w:val="nil"/>
              <w:left w:val="nil"/>
              <w:bottom w:val="nil"/>
              <w:right w:val="nil"/>
            </w:tcBorders>
            <w:vAlign w:val="bottom"/>
          </w:tcPr>
          <w:p w:rsidR="00813F31"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r w:rsidR="00813F31" w:rsidRPr="0053635E" w:rsidTr="00813F31">
        <w:trPr>
          <w:cantSplit/>
        </w:trPr>
        <w:tc>
          <w:tcPr>
            <w:tcW w:w="2148" w:type="pct"/>
            <w:tcBorders>
              <w:top w:val="nil"/>
              <w:left w:val="nil"/>
              <w:bottom w:val="nil"/>
              <w:right w:val="nil"/>
            </w:tcBorders>
          </w:tcPr>
          <w:p w:rsidR="00813F31" w:rsidRPr="00E31620" w:rsidRDefault="00813F31" w:rsidP="00813F31">
            <w:pPr>
              <w:widowControl/>
              <w:suppressAutoHyphens/>
              <w:ind w:left="200" w:hanging="200"/>
              <w:rPr>
                <w:sz w:val="22"/>
              </w:rPr>
            </w:pPr>
          </w:p>
        </w:tc>
        <w:tc>
          <w:tcPr>
            <w:tcW w:w="746" w:type="pct"/>
            <w:tcBorders>
              <w:top w:val="nil"/>
              <w:left w:val="nil"/>
              <w:bottom w:val="nil"/>
              <w:right w:val="nil"/>
            </w:tcBorders>
            <w:vAlign w:val="bottom"/>
          </w:tcPr>
          <w:p w:rsidR="00813F31"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737" w:type="pct"/>
            <w:tcBorders>
              <w:top w:val="nil"/>
              <w:left w:val="nil"/>
              <w:bottom w:val="nil"/>
              <w:right w:val="nil"/>
            </w:tcBorders>
            <w:vAlign w:val="bottom"/>
          </w:tcPr>
          <w:p w:rsidR="00813F31"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674" w:type="pct"/>
            <w:tcBorders>
              <w:top w:val="nil"/>
              <w:left w:val="nil"/>
              <w:bottom w:val="nil"/>
              <w:right w:val="nil"/>
            </w:tcBorders>
            <w:vAlign w:val="bottom"/>
          </w:tcPr>
          <w:p w:rsidR="00813F31"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695" w:type="pct"/>
            <w:tcBorders>
              <w:top w:val="nil"/>
              <w:left w:val="nil"/>
              <w:bottom w:val="nil"/>
              <w:right w:val="nil"/>
            </w:tcBorders>
            <w:vAlign w:val="bottom"/>
          </w:tcPr>
          <w:p w:rsidR="00813F31" w:rsidRDefault="00813F31" w:rsidP="00813F3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bl>
    <w:p w:rsidR="00744A72" w:rsidRPr="0060123C" w:rsidRDefault="007B45C3" w:rsidP="00401EF1">
      <w:pPr>
        <w:keepNext/>
        <w:keepLines/>
        <w:widowControl/>
        <w:tabs>
          <w:tab w:val="left" w:pos="-720"/>
          <w:tab w:val="left" w:pos="720"/>
          <w:tab w:val="left" w:pos="1440"/>
        </w:tabs>
        <w:suppressAutoHyphens/>
        <w:spacing w:after="240"/>
        <w:jc w:val="both"/>
        <w:rPr>
          <w:sz w:val="22"/>
        </w:rPr>
      </w:pPr>
      <w:r>
        <w:rPr>
          <w:sz w:val="22"/>
        </w:rPr>
        <w:tab/>
      </w:r>
      <w:r w:rsidR="00CA14BE" w:rsidRPr="0060123C">
        <w:rPr>
          <w:sz w:val="22"/>
        </w:rPr>
        <w:t xml:space="preserve">The following are reconciliations of </w:t>
      </w:r>
      <w:r w:rsidR="00E25893" w:rsidRPr="0060123C">
        <w:rPr>
          <w:sz w:val="22"/>
        </w:rPr>
        <w:t>Adjusted EBITDA</w:t>
      </w:r>
      <w:r w:rsidR="00CA14BE" w:rsidRPr="0060123C">
        <w:rPr>
          <w:sz w:val="22"/>
        </w:rPr>
        <w:t xml:space="preserve"> to the Company</w:t>
      </w:r>
      <w:r w:rsidR="00744A72" w:rsidRPr="0060123C">
        <w:rPr>
          <w:sz w:val="22"/>
        </w:rPr>
        <w:t>’</w:t>
      </w:r>
      <w:r w:rsidR="00CA14BE" w:rsidRPr="0060123C">
        <w:rPr>
          <w:sz w:val="22"/>
        </w:rPr>
        <w:t>s net</w:t>
      </w:r>
      <w:r w:rsidR="00D268CE">
        <w:rPr>
          <w:sz w:val="22"/>
        </w:rPr>
        <w:t xml:space="preserve"> income</w:t>
      </w:r>
      <w:r w:rsidR="00CA14BE" w:rsidRPr="0060123C">
        <w:rPr>
          <w:sz w:val="22"/>
        </w:rPr>
        <w:t xml:space="preserve"> </w:t>
      </w:r>
      <w:r w:rsidR="00D268CE">
        <w:rPr>
          <w:sz w:val="22"/>
        </w:rPr>
        <w:t>(</w:t>
      </w:r>
      <w:r w:rsidR="00CA14BE" w:rsidRPr="0060123C">
        <w:rPr>
          <w:sz w:val="22"/>
        </w:rPr>
        <w:t>loss</w:t>
      </w:r>
      <w:r w:rsidR="00D268CE">
        <w:rPr>
          <w:sz w:val="22"/>
        </w:rPr>
        <w:t>)</w:t>
      </w:r>
      <w:r w:rsidR="0089724A" w:rsidRPr="0060123C">
        <w:rPr>
          <w:sz w:val="22"/>
        </w:rPr>
        <w:t xml:space="preserve"> for the three months ended </w:t>
      </w:r>
      <w:r w:rsidR="0060123C" w:rsidRPr="0060123C">
        <w:rPr>
          <w:sz w:val="22"/>
        </w:rPr>
        <w:t>March</w:t>
      </w:r>
      <w:r w:rsidR="0089724A" w:rsidRPr="0060123C">
        <w:rPr>
          <w:sz w:val="22"/>
        </w:rPr>
        <w:t xml:space="preserve"> 3</w:t>
      </w:r>
      <w:r w:rsidR="0060123C" w:rsidRPr="0060123C">
        <w:rPr>
          <w:sz w:val="22"/>
        </w:rPr>
        <w:t>1</w:t>
      </w:r>
      <w:r w:rsidR="0089724A" w:rsidRPr="0060123C">
        <w:rPr>
          <w:sz w:val="22"/>
        </w:rPr>
        <w:t>, 201</w:t>
      </w:r>
      <w:r w:rsidR="0060123C" w:rsidRPr="0060123C">
        <w:rPr>
          <w:sz w:val="22"/>
        </w:rPr>
        <w:t>4</w:t>
      </w:r>
      <w:r w:rsidR="0089724A" w:rsidRPr="0060123C">
        <w:rPr>
          <w:sz w:val="22"/>
        </w:rPr>
        <w:t xml:space="preserve"> and 201</w:t>
      </w:r>
      <w:r w:rsidR="0060123C" w:rsidRPr="0060123C">
        <w:rPr>
          <w:sz w:val="22"/>
        </w:rPr>
        <w:t>3</w:t>
      </w:r>
      <w:r w:rsidR="00CA14BE" w:rsidRPr="0060123C">
        <w:rPr>
          <w:sz w:val="22"/>
        </w:rPr>
        <w:t>.</w:t>
      </w:r>
    </w:p>
    <w:tbl>
      <w:tblPr>
        <w:tblW w:w="4594" w:type="pct"/>
        <w:jc w:val="center"/>
        <w:tblCellMar>
          <w:left w:w="72" w:type="dxa"/>
          <w:right w:w="72" w:type="dxa"/>
        </w:tblCellMar>
        <w:tblLook w:val="0000" w:firstRow="0" w:lastRow="0" w:firstColumn="0" w:lastColumn="0" w:noHBand="0" w:noVBand="0"/>
      </w:tblPr>
      <w:tblGrid>
        <w:gridCol w:w="7164"/>
        <w:gridCol w:w="1058"/>
        <w:gridCol w:w="1172"/>
      </w:tblGrid>
      <w:tr w:rsidR="0089724A" w:rsidRPr="0060123C" w:rsidTr="00976227">
        <w:trPr>
          <w:cantSplit/>
          <w:jc w:val="center"/>
        </w:trPr>
        <w:tc>
          <w:tcPr>
            <w:tcW w:w="3813" w:type="pct"/>
            <w:tcBorders>
              <w:top w:val="nil"/>
              <w:left w:val="nil"/>
              <w:bottom w:val="nil"/>
              <w:right w:val="nil"/>
            </w:tcBorders>
            <w:vAlign w:val="bottom"/>
          </w:tcPr>
          <w:p w:rsidR="0089724A" w:rsidRPr="0060123C" w:rsidRDefault="0089724A"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p>
        </w:tc>
        <w:tc>
          <w:tcPr>
            <w:tcW w:w="1187" w:type="pct"/>
            <w:gridSpan w:val="2"/>
            <w:tcBorders>
              <w:top w:val="nil"/>
              <w:left w:val="nil"/>
              <w:bottom w:val="nil"/>
              <w:right w:val="nil"/>
            </w:tcBorders>
            <w:vAlign w:val="bottom"/>
          </w:tcPr>
          <w:p w:rsidR="0089724A" w:rsidRPr="0060123C" w:rsidRDefault="0089724A" w:rsidP="0060123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60123C">
              <w:rPr>
                <w:b/>
                <w:bCs/>
                <w:sz w:val="22"/>
              </w:rPr>
              <w:t xml:space="preserve">Three </w:t>
            </w:r>
            <w:r w:rsidR="00A7059D" w:rsidRPr="0060123C">
              <w:rPr>
                <w:b/>
                <w:bCs/>
                <w:sz w:val="22"/>
              </w:rPr>
              <w:t>M</w:t>
            </w:r>
            <w:r w:rsidRPr="0060123C">
              <w:rPr>
                <w:b/>
                <w:bCs/>
                <w:sz w:val="22"/>
              </w:rPr>
              <w:t>onths</w:t>
            </w:r>
            <w:r w:rsidR="00A7059D" w:rsidRPr="0060123C">
              <w:rPr>
                <w:b/>
                <w:bCs/>
                <w:sz w:val="22"/>
              </w:rPr>
              <w:t xml:space="preserve"> E</w:t>
            </w:r>
            <w:r w:rsidRPr="0060123C">
              <w:rPr>
                <w:b/>
                <w:bCs/>
                <w:sz w:val="22"/>
              </w:rPr>
              <w:t xml:space="preserve">nded   </w:t>
            </w:r>
            <w:r w:rsidR="00CE4A78" w:rsidRPr="0060123C">
              <w:rPr>
                <w:b/>
                <w:bCs/>
                <w:sz w:val="22"/>
              </w:rPr>
              <w:t xml:space="preserve">  </w:t>
            </w:r>
            <w:r w:rsidRPr="0060123C">
              <w:rPr>
                <w:b/>
                <w:bCs/>
                <w:sz w:val="22"/>
              </w:rPr>
              <w:t xml:space="preserve"> </w:t>
            </w:r>
            <w:r w:rsidR="0060123C">
              <w:rPr>
                <w:b/>
                <w:bCs/>
                <w:sz w:val="22"/>
              </w:rPr>
              <w:t>March</w:t>
            </w:r>
            <w:r w:rsidRPr="0060123C">
              <w:rPr>
                <w:b/>
                <w:bCs/>
                <w:sz w:val="22"/>
              </w:rPr>
              <w:t xml:space="preserve"> 3</w:t>
            </w:r>
            <w:r w:rsidR="0060123C">
              <w:rPr>
                <w:b/>
                <w:bCs/>
                <w:sz w:val="22"/>
              </w:rPr>
              <w:t>1</w:t>
            </w:r>
            <w:r w:rsidR="00E84D67" w:rsidRPr="0060123C">
              <w:rPr>
                <w:b/>
                <w:bCs/>
                <w:sz w:val="22"/>
              </w:rPr>
              <w:t>,</w:t>
            </w:r>
          </w:p>
        </w:tc>
      </w:tr>
      <w:tr w:rsidR="0089724A" w:rsidRPr="0060123C" w:rsidTr="00976227">
        <w:trPr>
          <w:cantSplit/>
          <w:jc w:val="center"/>
        </w:trPr>
        <w:tc>
          <w:tcPr>
            <w:tcW w:w="3813" w:type="pct"/>
            <w:tcBorders>
              <w:top w:val="nil"/>
              <w:left w:val="nil"/>
              <w:bottom w:val="nil"/>
              <w:right w:val="nil"/>
            </w:tcBorders>
            <w:vAlign w:val="bottom"/>
          </w:tcPr>
          <w:p w:rsidR="0089724A" w:rsidRPr="0060123C" w:rsidRDefault="0089724A"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p>
        </w:tc>
        <w:tc>
          <w:tcPr>
            <w:tcW w:w="563" w:type="pct"/>
            <w:tcBorders>
              <w:top w:val="nil"/>
              <w:left w:val="nil"/>
              <w:bottom w:val="nil"/>
              <w:right w:val="nil"/>
            </w:tcBorders>
            <w:vAlign w:val="bottom"/>
          </w:tcPr>
          <w:p w:rsidR="0089724A" w:rsidRPr="0060123C" w:rsidRDefault="0089724A" w:rsidP="0060123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60123C">
              <w:rPr>
                <w:b/>
                <w:bCs/>
                <w:sz w:val="22"/>
              </w:rPr>
              <w:t>201</w:t>
            </w:r>
            <w:r w:rsidR="0060123C">
              <w:rPr>
                <w:b/>
                <w:bCs/>
                <w:sz w:val="22"/>
              </w:rPr>
              <w:t>4</w:t>
            </w:r>
          </w:p>
        </w:tc>
        <w:tc>
          <w:tcPr>
            <w:tcW w:w="624" w:type="pct"/>
            <w:tcBorders>
              <w:top w:val="nil"/>
              <w:left w:val="nil"/>
              <w:bottom w:val="nil"/>
              <w:right w:val="nil"/>
            </w:tcBorders>
            <w:vAlign w:val="bottom"/>
          </w:tcPr>
          <w:p w:rsidR="0089724A" w:rsidRPr="0060123C" w:rsidRDefault="0089724A" w:rsidP="0060123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60123C">
              <w:rPr>
                <w:b/>
                <w:bCs/>
                <w:sz w:val="22"/>
              </w:rPr>
              <w:t>201</w:t>
            </w:r>
            <w:r w:rsidR="0060123C">
              <w:rPr>
                <w:b/>
                <w:bCs/>
                <w:sz w:val="22"/>
              </w:rPr>
              <w:t>3</w:t>
            </w:r>
          </w:p>
        </w:tc>
      </w:tr>
      <w:tr w:rsidR="0089724A" w:rsidRPr="0060123C" w:rsidTr="00976227">
        <w:trPr>
          <w:cantSplit/>
          <w:jc w:val="center"/>
        </w:trPr>
        <w:tc>
          <w:tcPr>
            <w:tcW w:w="3813" w:type="pct"/>
            <w:tcBorders>
              <w:top w:val="nil"/>
              <w:left w:val="nil"/>
              <w:bottom w:val="nil"/>
              <w:right w:val="nil"/>
            </w:tcBorders>
          </w:tcPr>
          <w:p w:rsidR="0089724A" w:rsidRPr="0060123C" w:rsidRDefault="0089724A" w:rsidP="00B31462">
            <w:pPr>
              <w:widowControl/>
              <w:suppressAutoHyphens/>
              <w:ind w:left="200" w:hanging="200"/>
              <w:rPr>
                <w:sz w:val="22"/>
              </w:rPr>
            </w:pPr>
            <w:r w:rsidRPr="0060123C">
              <w:rPr>
                <w:b/>
                <w:bCs/>
                <w:sz w:val="22"/>
              </w:rPr>
              <w:t>Adjusted EBITDA</w:t>
            </w:r>
            <w:r w:rsidRPr="0060123C">
              <w:rPr>
                <w:sz w:val="22"/>
              </w:rPr>
              <w:tab/>
            </w:r>
          </w:p>
        </w:tc>
        <w:tc>
          <w:tcPr>
            <w:tcW w:w="563" w:type="pct"/>
            <w:tcBorders>
              <w:top w:val="nil"/>
              <w:left w:val="nil"/>
              <w:bottom w:val="nil"/>
              <w:right w:val="nil"/>
            </w:tcBorders>
            <w:vAlign w:val="bottom"/>
          </w:tcPr>
          <w:p w:rsidR="0089724A" w:rsidRPr="00C9237E" w:rsidRDefault="0089724A"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9237E">
              <w:rPr>
                <w:sz w:val="22"/>
              </w:rPr>
              <w:t>$</w:t>
            </w:r>
            <w:r w:rsidR="00C9237E" w:rsidRPr="00C9237E">
              <w:rPr>
                <w:sz w:val="22"/>
              </w:rPr>
              <w:t xml:space="preserve"> </w:t>
            </w:r>
            <w:r w:rsidR="00B0114B" w:rsidRPr="00C9237E">
              <w:rPr>
                <w:sz w:val="22"/>
              </w:rPr>
              <w:t xml:space="preserve"> </w:t>
            </w:r>
            <w:r w:rsidR="00113CCB" w:rsidRPr="00C9237E">
              <w:rPr>
                <w:sz w:val="22"/>
              </w:rPr>
              <w:t xml:space="preserve"> </w:t>
            </w:r>
            <w:r w:rsidR="00C9237E" w:rsidRPr="00C9237E">
              <w:rPr>
                <w:sz w:val="22"/>
              </w:rPr>
              <w:t>52</w:t>
            </w:r>
            <w:r w:rsidRPr="00C9237E">
              <w:rPr>
                <w:sz w:val="22"/>
              </w:rPr>
              <w:t>,</w:t>
            </w:r>
            <w:r w:rsidR="00C9237E" w:rsidRPr="00C9237E">
              <w:rPr>
                <w:sz w:val="22"/>
              </w:rPr>
              <w:t>197</w:t>
            </w:r>
          </w:p>
        </w:tc>
        <w:tc>
          <w:tcPr>
            <w:tcW w:w="624" w:type="pct"/>
            <w:tcBorders>
              <w:top w:val="nil"/>
              <w:left w:val="nil"/>
              <w:bottom w:val="nil"/>
              <w:right w:val="nil"/>
            </w:tcBorders>
            <w:vAlign w:val="bottom"/>
          </w:tcPr>
          <w:p w:rsidR="0089724A" w:rsidRPr="0060123C" w:rsidRDefault="0089724A" w:rsidP="0024602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0123C">
              <w:rPr>
                <w:sz w:val="22"/>
              </w:rPr>
              <w:t>$</w:t>
            </w:r>
            <w:r w:rsidR="004B6A35" w:rsidRPr="0060123C">
              <w:rPr>
                <w:sz w:val="22"/>
              </w:rPr>
              <w:t xml:space="preserve"> </w:t>
            </w:r>
            <w:r w:rsidR="00BE10DC" w:rsidRPr="0060123C">
              <w:rPr>
                <w:sz w:val="22"/>
              </w:rPr>
              <w:t xml:space="preserve"> </w:t>
            </w:r>
            <w:r w:rsidR="00246025">
              <w:rPr>
                <w:sz w:val="22"/>
              </w:rPr>
              <w:t xml:space="preserve"> </w:t>
            </w:r>
            <w:r w:rsidR="00B0114B" w:rsidRPr="0060123C">
              <w:rPr>
                <w:sz w:val="22"/>
              </w:rPr>
              <w:t xml:space="preserve"> </w:t>
            </w:r>
            <w:r w:rsidR="00685557" w:rsidRPr="0060123C">
              <w:rPr>
                <w:sz w:val="22"/>
              </w:rPr>
              <w:t xml:space="preserve"> </w:t>
            </w:r>
            <w:r w:rsidR="004C4113" w:rsidRPr="0060123C">
              <w:rPr>
                <w:sz w:val="22"/>
              </w:rPr>
              <w:t>4</w:t>
            </w:r>
            <w:r w:rsidR="0095710C">
              <w:rPr>
                <w:sz w:val="22"/>
              </w:rPr>
              <w:t>2</w:t>
            </w:r>
            <w:r w:rsidR="00A714EB" w:rsidRPr="0060123C">
              <w:rPr>
                <w:sz w:val="22"/>
              </w:rPr>
              <w:t>,</w:t>
            </w:r>
            <w:r w:rsidR="0095710C">
              <w:rPr>
                <w:sz w:val="22"/>
              </w:rPr>
              <w:t>967</w:t>
            </w:r>
          </w:p>
        </w:tc>
      </w:tr>
      <w:tr w:rsidR="0089724A" w:rsidRPr="0053635E" w:rsidTr="00976227">
        <w:trPr>
          <w:cantSplit/>
          <w:jc w:val="center"/>
        </w:trPr>
        <w:tc>
          <w:tcPr>
            <w:tcW w:w="3813" w:type="pct"/>
            <w:tcBorders>
              <w:top w:val="nil"/>
              <w:left w:val="nil"/>
              <w:bottom w:val="nil"/>
              <w:right w:val="nil"/>
            </w:tcBorders>
          </w:tcPr>
          <w:p w:rsidR="0089724A" w:rsidRPr="0060123C" w:rsidRDefault="0089724A" w:rsidP="00685557">
            <w:pPr>
              <w:widowControl/>
              <w:suppressAutoHyphens/>
              <w:ind w:left="200" w:hanging="200"/>
              <w:rPr>
                <w:sz w:val="22"/>
              </w:rPr>
            </w:pPr>
            <w:r w:rsidRPr="0060123C">
              <w:rPr>
                <w:sz w:val="22"/>
              </w:rPr>
              <w:t>Principal collections on direct finance leases, net of interest earned</w:t>
            </w:r>
            <w:r w:rsidRPr="0060123C">
              <w:rPr>
                <w:sz w:val="22"/>
              </w:rPr>
              <w:tab/>
            </w:r>
          </w:p>
        </w:tc>
        <w:tc>
          <w:tcPr>
            <w:tcW w:w="563" w:type="pct"/>
            <w:tcBorders>
              <w:top w:val="nil"/>
              <w:left w:val="nil"/>
              <w:bottom w:val="nil"/>
              <w:right w:val="nil"/>
            </w:tcBorders>
            <w:vAlign w:val="bottom"/>
          </w:tcPr>
          <w:p w:rsidR="0089724A" w:rsidRPr="00C9237E" w:rsidRDefault="0089724A"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9237E">
              <w:rPr>
                <w:sz w:val="22"/>
              </w:rPr>
              <w:t>(</w:t>
            </w:r>
            <w:r w:rsidR="00113CCB" w:rsidRPr="00C9237E">
              <w:rPr>
                <w:sz w:val="22"/>
              </w:rPr>
              <w:t>1</w:t>
            </w:r>
            <w:r w:rsidR="004149DA" w:rsidRPr="00C9237E">
              <w:rPr>
                <w:sz w:val="22"/>
              </w:rPr>
              <w:t>,</w:t>
            </w:r>
            <w:r w:rsidR="00C9237E" w:rsidRPr="00C9237E">
              <w:rPr>
                <w:sz w:val="22"/>
              </w:rPr>
              <w:t>187</w:t>
            </w:r>
            <w:r w:rsidRPr="00C9237E">
              <w:rPr>
                <w:sz w:val="22"/>
              </w:rPr>
              <w:t>)</w:t>
            </w:r>
          </w:p>
        </w:tc>
        <w:tc>
          <w:tcPr>
            <w:tcW w:w="624" w:type="pct"/>
            <w:tcBorders>
              <w:top w:val="nil"/>
              <w:left w:val="nil"/>
              <w:bottom w:val="nil"/>
              <w:right w:val="nil"/>
            </w:tcBorders>
            <w:vAlign w:val="bottom"/>
          </w:tcPr>
          <w:p w:rsidR="0089724A" w:rsidRPr="0060123C" w:rsidRDefault="00C03FC9" w:rsidP="0095710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60123C">
              <w:rPr>
                <w:sz w:val="22"/>
              </w:rPr>
              <w:t xml:space="preserve"> </w:t>
            </w:r>
            <w:r w:rsidR="0089724A" w:rsidRPr="0060123C">
              <w:rPr>
                <w:sz w:val="22"/>
              </w:rPr>
              <w:t>(</w:t>
            </w:r>
            <w:r w:rsidR="0095710C">
              <w:rPr>
                <w:sz w:val="22"/>
              </w:rPr>
              <w:t>1</w:t>
            </w:r>
            <w:r w:rsidR="0089724A" w:rsidRPr="0060123C">
              <w:rPr>
                <w:sz w:val="22"/>
              </w:rPr>
              <w:t>,</w:t>
            </w:r>
            <w:r w:rsidR="0095710C">
              <w:rPr>
                <w:sz w:val="22"/>
              </w:rPr>
              <w:t>460</w:t>
            </w:r>
            <w:r w:rsidR="0089724A" w:rsidRPr="0060123C">
              <w:rPr>
                <w:sz w:val="22"/>
              </w:rPr>
              <w:t>)</w:t>
            </w:r>
          </w:p>
        </w:tc>
      </w:tr>
      <w:tr w:rsidR="0089724A" w:rsidRPr="0053635E" w:rsidTr="00976227">
        <w:trPr>
          <w:cantSplit/>
          <w:jc w:val="center"/>
        </w:trPr>
        <w:tc>
          <w:tcPr>
            <w:tcW w:w="3813" w:type="pct"/>
            <w:tcBorders>
              <w:top w:val="nil"/>
              <w:left w:val="nil"/>
              <w:bottom w:val="nil"/>
              <w:right w:val="nil"/>
            </w:tcBorders>
          </w:tcPr>
          <w:p w:rsidR="0089724A" w:rsidRPr="0095710C" w:rsidRDefault="0089724A" w:rsidP="00431D93">
            <w:pPr>
              <w:widowControl/>
              <w:suppressAutoHyphens/>
              <w:ind w:left="200" w:hanging="200"/>
              <w:rPr>
                <w:sz w:val="22"/>
              </w:rPr>
            </w:pPr>
            <w:r w:rsidRPr="0095710C">
              <w:rPr>
                <w:sz w:val="22"/>
              </w:rPr>
              <w:t xml:space="preserve">Non-cash </w:t>
            </w:r>
            <w:r w:rsidR="00431D93">
              <w:rPr>
                <w:sz w:val="22"/>
              </w:rPr>
              <w:t>share-based</w:t>
            </w:r>
            <w:r w:rsidRPr="0095710C">
              <w:rPr>
                <w:sz w:val="22"/>
              </w:rPr>
              <w:t xml:space="preserve"> compensation</w:t>
            </w:r>
            <w:r w:rsidRPr="0095710C">
              <w:rPr>
                <w:sz w:val="22"/>
              </w:rPr>
              <w:tab/>
            </w:r>
          </w:p>
        </w:tc>
        <w:tc>
          <w:tcPr>
            <w:tcW w:w="563" w:type="pct"/>
            <w:tcBorders>
              <w:top w:val="nil"/>
              <w:left w:val="nil"/>
              <w:bottom w:val="nil"/>
              <w:right w:val="nil"/>
            </w:tcBorders>
            <w:vAlign w:val="bottom"/>
          </w:tcPr>
          <w:p w:rsidR="0089724A" w:rsidRPr="00C9237E" w:rsidRDefault="00F125FD"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9237E">
              <w:rPr>
                <w:sz w:val="22"/>
              </w:rPr>
              <w:t>(</w:t>
            </w:r>
            <w:r w:rsidR="00C9237E" w:rsidRPr="00C9237E">
              <w:rPr>
                <w:sz w:val="22"/>
              </w:rPr>
              <w:t>218</w:t>
            </w:r>
            <w:r w:rsidRPr="00C9237E">
              <w:rPr>
                <w:sz w:val="22"/>
              </w:rPr>
              <w:t>)</w:t>
            </w:r>
          </w:p>
        </w:tc>
        <w:tc>
          <w:tcPr>
            <w:tcW w:w="624" w:type="pct"/>
            <w:tcBorders>
              <w:top w:val="nil"/>
              <w:left w:val="nil"/>
              <w:bottom w:val="nil"/>
              <w:right w:val="nil"/>
            </w:tcBorders>
            <w:vAlign w:val="bottom"/>
          </w:tcPr>
          <w:p w:rsidR="0089724A" w:rsidRPr="0095710C" w:rsidRDefault="0089724A" w:rsidP="0095710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95710C">
              <w:rPr>
                <w:sz w:val="22"/>
              </w:rPr>
              <w:t>(</w:t>
            </w:r>
            <w:r w:rsidR="0095710C" w:rsidRPr="0095710C">
              <w:rPr>
                <w:sz w:val="22"/>
              </w:rPr>
              <w:t>281</w:t>
            </w:r>
            <w:r w:rsidRPr="0095710C">
              <w:rPr>
                <w:sz w:val="22"/>
              </w:rPr>
              <w:t>)</w:t>
            </w:r>
          </w:p>
        </w:tc>
      </w:tr>
      <w:tr w:rsidR="0089724A" w:rsidRPr="0053635E" w:rsidTr="00976227">
        <w:trPr>
          <w:cantSplit/>
          <w:jc w:val="center"/>
        </w:trPr>
        <w:tc>
          <w:tcPr>
            <w:tcW w:w="3813" w:type="pct"/>
            <w:tcBorders>
              <w:top w:val="nil"/>
              <w:left w:val="nil"/>
              <w:bottom w:val="nil"/>
              <w:right w:val="nil"/>
            </w:tcBorders>
          </w:tcPr>
          <w:p w:rsidR="0089724A" w:rsidRPr="0095710C" w:rsidRDefault="0089724A" w:rsidP="00073843">
            <w:pPr>
              <w:widowControl/>
              <w:suppressAutoHyphens/>
              <w:ind w:left="200" w:hanging="200"/>
              <w:rPr>
                <w:sz w:val="22"/>
              </w:rPr>
            </w:pPr>
            <w:r w:rsidRPr="0095710C">
              <w:rPr>
                <w:sz w:val="22"/>
              </w:rPr>
              <w:t>Interest expense</w:t>
            </w:r>
            <w:r w:rsidRPr="0095710C">
              <w:rPr>
                <w:sz w:val="22"/>
              </w:rPr>
              <w:tab/>
            </w:r>
          </w:p>
        </w:tc>
        <w:tc>
          <w:tcPr>
            <w:tcW w:w="563" w:type="pct"/>
            <w:tcBorders>
              <w:top w:val="nil"/>
              <w:left w:val="nil"/>
              <w:bottom w:val="nil"/>
              <w:right w:val="nil"/>
            </w:tcBorders>
            <w:vAlign w:val="bottom"/>
          </w:tcPr>
          <w:p w:rsidR="0089724A" w:rsidRPr="00C9237E" w:rsidRDefault="0089724A"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9237E">
              <w:rPr>
                <w:sz w:val="22"/>
              </w:rPr>
              <w:t>(</w:t>
            </w:r>
            <w:r w:rsidR="00113CCB" w:rsidRPr="00C9237E">
              <w:rPr>
                <w:sz w:val="22"/>
              </w:rPr>
              <w:t>22</w:t>
            </w:r>
            <w:r w:rsidRPr="00C9237E">
              <w:rPr>
                <w:sz w:val="22"/>
              </w:rPr>
              <w:t>,</w:t>
            </w:r>
            <w:r w:rsidR="00C9237E" w:rsidRPr="00C9237E">
              <w:rPr>
                <w:sz w:val="22"/>
              </w:rPr>
              <w:t>216</w:t>
            </w:r>
            <w:r w:rsidRPr="00C9237E">
              <w:rPr>
                <w:sz w:val="22"/>
              </w:rPr>
              <w:t>)</w:t>
            </w:r>
          </w:p>
        </w:tc>
        <w:tc>
          <w:tcPr>
            <w:tcW w:w="624" w:type="pct"/>
            <w:tcBorders>
              <w:top w:val="nil"/>
              <w:left w:val="nil"/>
              <w:bottom w:val="nil"/>
              <w:right w:val="nil"/>
            </w:tcBorders>
            <w:vAlign w:val="bottom"/>
          </w:tcPr>
          <w:p w:rsidR="0089724A" w:rsidRPr="0095710C" w:rsidRDefault="0089724A" w:rsidP="0095710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95710C">
              <w:rPr>
                <w:sz w:val="22"/>
              </w:rPr>
              <w:t>(</w:t>
            </w:r>
            <w:r w:rsidR="004C4113" w:rsidRPr="0095710C">
              <w:rPr>
                <w:sz w:val="22"/>
              </w:rPr>
              <w:t>2</w:t>
            </w:r>
            <w:r w:rsidR="0095710C" w:rsidRPr="0095710C">
              <w:rPr>
                <w:sz w:val="22"/>
              </w:rPr>
              <w:t>2</w:t>
            </w:r>
            <w:r w:rsidRPr="0095710C">
              <w:rPr>
                <w:sz w:val="22"/>
              </w:rPr>
              <w:t>,</w:t>
            </w:r>
            <w:r w:rsidR="0095710C" w:rsidRPr="0095710C">
              <w:rPr>
                <w:sz w:val="22"/>
              </w:rPr>
              <w:t>722</w:t>
            </w:r>
            <w:r w:rsidRPr="0095710C">
              <w:rPr>
                <w:sz w:val="22"/>
              </w:rPr>
              <w:t>)</w:t>
            </w:r>
          </w:p>
        </w:tc>
      </w:tr>
      <w:tr w:rsidR="0089724A" w:rsidRPr="0053635E" w:rsidTr="00976227">
        <w:trPr>
          <w:cantSplit/>
          <w:jc w:val="center"/>
        </w:trPr>
        <w:tc>
          <w:tcPr>
            <w:tcW w:w="3813" w:type="pct"/>
            <w:tcBorders>
              <w:top w:val="nil"/>
              <w:left w:val="nil"/>
              <w:bottom w:val="nil"/>
              <w:right w:val="nil"/>
            </w:tcBorders>
          </w:tcPr>
          <w:p w:rsidR="0089724A" w:rsidRPr="0095710C" w:rsidRDefault="0089724A" w:rsidP="00685557">
            <w:pPr>
              <w:widowControl/>
              <w:suppressAutoHyphens/>
              <w:ind w:left="200" w:hanging="200"/>
              <w:rPr>
                <w:sz w:val="22"/>
              </w:rPr>
            </w:pPr>
            <w:r w:rsidRPr="0095710C">
              <w:rPr>
                <w:sz w:val="22"/>
              </w:rPr>
              <w:t>Depreciation expense</w:t>
            </w:r>
            <w:r w:rsidRPr="0095710C">
              <w:rPr>
                <w:sz w:val="22"/>
              </w:rPr>
              <w:tab/>
            </w:r>
          </w:p>
        </w:tc>
        <w:tc>
          <w:tcPr>
            <w:tcW w:w="563" w:type="pct"/>
            <w:tcBorders>
              <w:top w:val="nil"/>
              <w:left w:val="nil"/>
              <w:bottom w:val="nil"/>
              <w:right w:val="nil"/>
            </w:tcBorders>
            <w:vAlign w:val="bottom"/>
          </w:tcPr>
          <w:p w:rsidR="0089724A" w:rsidRPr="00C9237E" w:rsidRDefault="0089724A"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9237E">
              <w:rPr>
                <w:sz w:val="22"/>
              </w:rPr>
              <w:t>(</w:t>
            </w:r>
            <w:r w:rsidR="00113CCB" w:rsidRPr="00C9237E">
              <w:rPr>
                <w:sz w:val="22"/>
              </w:rPr>
              <w:t>18</w:t>
            </w:r>
            <w:r w:rsidRPr="00C9237E">
              <w:rPr>
                <w:sz w:val="22"/>
              </w:rPr>
              <w:t>,</w:t>
            </w:r>
            <w:r w:rsidR="00C9237E" w:rsidRPr="00C9237E">
              <w:rPr>
                <w:sz w:val="22"/>
              </w:rPr>
              <w:t>504</w:t>
            </w:r>
            <w:r w:rsidRPr="00C9237E">
              <w:rPr>
                <w:sz w:val="22"/>
              </w:rPr>
              <w:t>)</w:t>
            </w:r>
          </w:p>
        </w:tc>
        <w:tc>
          <w:tcPr>
            <w:tcW w:w="624" w:type="pct"/>
            <w:tcBorders>
              <w:top w:val="nil"/>
              <w:left w:val="nil"/>
              <w:bottom w:val="nil"/>
              <w:right w:val="nil"/>
            </w:tcBorders>
            <w:vAlign w:val="bottom"/>
          </w:tcPr>
          <w:p w:rsidR="0089724A" w:rsidRPr="0095710C" w:rsidRDefault="0089724A" w:rsidP="0095710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95710C">
              <w:rPr>
                <w:sz w:val="22"/>
              </w:rPr>
              <w:t>(</w:t>
            </w:r>
            <w:r w:rsidR="00EF153B" w:rsidRPr="0095710C">
              <w:rPr>
                <w:sz w:val="22"/>
              </w:rPr>
              <w:t>1</w:t>
            </w:r>
            <w:r w:rsidR="0095710C" w:rsidRPr="0095710C">
              <w:rPr>
                <w:sz w:val="22"/>
              </w:rPr>
              <w:t>7</w:t>
            </w:r>
            <w:r w:rsidRPr="0095710C">
              <w:rPr>
                <w:sz w:val="22"/>
              </w:rPr>
              <w:t>,</w:t>
            </w:r>
            <w:r w:rsidR="0095710C" w:rsidRPr="0095710C">
              <w:rPr>
                <w:sz w:val="22"/>
              </w:rPr>
              <w:t>274</w:t>
            </w:r>
            <w:r w:rsidRPr="0095710C">
              <w:rPr>
                <w:sz w:val="22"/>
              </w:rPr>
              <w:t>)</w:t>
            </w:r>
          </w:p>
        </w:tc>
      </w:tr>
      <w:tr w:rsidR="0089724A" w:rsidRPr="0053635E" w:rsidTr="00976227">
        <w:trPr>
          <w:cantSplit/>
          <w:jc w:val="center"/>
        </w:trPr>
        <w:tc>
          <w:tcPr>
            <w:tcW w:w="3813" w:type="pct"/>
            <w:tcBorders>
              <w:top w:val="nil"/>
              <w:left w:val="nil"/>
              <w:bottom w:val="nil"/>
              <w:right w:val="nil"/>
            </w:tcBorders>
          </w:tcPr>
          <w:p w:rsidR="0089724A" w:rsidRPr="0095710C" w:rsidRDefault="0089724A" w:rsidP="00685557">
            <w:pPr>
              <w:widowControl/>
              <w:suppressAutoHyphens/>
              <w:ind w:left="200" w:hanging="200"/>
              <w:rPr>
                <w:sz w:val="22"/>
              </w:rPr>
            </w:pPr>
            <w:r w:rsidRPr="0095710C">
              <w:rPr>
                <w:sz w:val="22"/>
              </w:rPr>
              <w:t>Impairment of leasing equipment</w:t>
            </w:r>
            <w:r w:rsidRPr="0095710C">
              <w:rPr>
                <w:sz w:val="22"/>
              </w:rPr>
              <w:tab/>
            </w:r>
          </w:p>
        </w:tc>
        <w:tc>
          <w:tcPr>
            <w:tcW w:w="563" w:type="pct"/>
            <w:tcBorders>
              <w:top w:val="nil"/>
              <w:left w:val="nil"/>
              <w:bottom w:val="nil"/>
              <w:right w:val="nil"/>
            </w:tcBorders>
            <w:vAlign w:val="bottom"/>
          </w:tcPr>
          <w:p w:rsidR="0089724A" w:rsidRPr="00C9237E" w:rsidRDefault="0089724A"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9237E">
              <w:rPr>
                <w:sz w:val="22"/>
              </w:rPr>
              <w:t>(</w:t>
            </w:r>
            <w:r w:rsidR="00113CCB" w:rsidRPr="00C9237E">
              <w:rPr>
                <w:sz w:val="22"/>
              </w:rPr>
              <w:t>1</w:t>
            </w:r>
            <w:r w:rsidR="004149DA" w:rsidRPr="00C9237E">
              <w:rPr>
                <w:sz w:val="22"/>
              </w:rPr>
              <w:t>,</w:t>
            </w:r>
            <w:r w:rsidR="00C9237E" w:rsidRPr="00C9237E">
              <w:rPr>
                <w:sz w:val="22"/>
              </w:rPr>
              <w:t>126</w:t>
            </w:r>
            <w:r w:rsidRPr="00C9237E">
              <w:rPr>
                <w:sz w:val="22"/>
              </w:rPr>
              <w:t>)</w:t>
            </w:r>
          </w:p>
        </w:tc>
        <w:tc>
          <w:tcPr>
            <w:tcW w:w="624" w:type="pct"/>
            <w:tcBorders>
              <w:top w:val="nil"/>
              <w:left w:val="nil"/>
              <w:bottom w:val="nil"/>
              <w:right w:val="nil"/>
            </w:tcBorders>
            <w:vAlign w:val="bottom"/>
          </w:tcPr>
          <w:p w:rsidR="0089724A" w:rsidRPr="0095710C" w:rsidRDefault="0089724A" w:rsidP="0095710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95710C">
              <w:rPr>
                <w:sz w:val="22"/>
              </w:rPr>
              <w:t>(</w:t>
            </w:r>
            <w:r w:rsidR="0095710C" w:rsidRPr="0095710C">
              <w:rPr>
                <w:sz w:val="22"/>
              </w:rPr>
              <w:t>2</w:t>
            </w:r>
            <w:r w:rsidR="004C4113" w:rsidRPr="0095710C">
              <w:rPr>
                <w:sz w:val="22"/>
              </w:rPr>
              <w:t>,</w:t>
            </w:r>
            <w:r w:rsidR="0095710C" w:rsidRPr="0095710C">
              <w:rPr>
                <w:sz w:val="22"/>
              </w:rPr>
              <w:t>133</w:t>
            </w:r>
            <w:r w:rsidRPr="0095710C">
              <w:rPr>
                <w:sz w:val="22"/>
              </w:rPr>
              <w:t>)</w:t>
            </w:r>
          </w:p>
        </w:tc>
      </w:tr>
      <w:tr w:rsidR="0089724A" w:rsidRPr="0053635E" w:rsidTr="00976227">
        <w:trPr>
          <w:cantSplit/>
          <w:jc w:val="center"/>
        </w:trPr>
        <w:tc>
          <w:tcPr>
            <w:tcW w:w="3813" w:type="pct"/>
            <w:tcBorders>
              <w:top w:val="nil"/>
              <w:left w:val="nil"/>
              <w:bottom w:val="nil"/>
              <w:right w:val="nil"/>
            </w:tcBorders>
          </w:tcPr>
          <w:p w:rsidR="0089724A" w:rsidRPr="0095710C" w:rsidRDefault="0089724A" w:rsidP="00976227">
            <w:pPr>
              <w:widowControl/>
              <w:suppressAutoHyphens/>
              <w:ind w:left="200" w:hanging="200"/>
              <w:rPr>
                <w:sz w:val="22"/>
              </w:rPr>
            </w:pPr>
            <w:r w:rsidRPr="0095710C">
              <w:rPr>
                <w:sz w:val="22"/>
              </w:rPr>
              <w:t xml:space="preserve">Loss on </w:t>
            </w:r>
            <w:r w:rsidR="00976227">
              <w:rPr>
                <w:sz w:val="22"/>
              </w:rPr>
              <w:t>modification and extinguishment of debt and capital lease obligations</w:t>
            </w:r>
          </w:p>
        </w:tc>
        <w:tc>
          <w:tcPr>
            <w:tcW w:w="563" w:type="pct"/>
            <w:tcBorders>
              <w:top w:val="nil"/>
              <w:left w:val="nil"/>
              <w:right w:val="nil"/>
            </w:tcBorders>
            <w:vAlign w:val="bottom"/>
          </w:tcPr>
          <w:p w:rsidR="0089724A" w:rsidRPr="00C9237E" w:rsidRDefault="0089724A"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9237E">
              <w:rPr>
                <w:sz w:val="22"/>
              </w:rPr>
              <w:t>(</w:t>
            </w:r>
            <w:r w:rsidR="00C9237E" w:rsidRPr="00C9237E">
              <w:rPr>
                <w:sz w:val="22"/>
              </w:rPr>
              <w:t>22)</w:t>
            </w:r>
          </w:p>
        </w:tc>
        <w:tc>
          <w:tcPr>
            <w:tcW w:w="624" w:type="pct"/>
            <w:tcBorders>
              <w:top w:val="nil"/>
              <w:left w:val="nil"/>
              <w:right w:val="nil"/>
            </w:tcBorders>
            <w:vAlign w:val="bottom"/>
          </w:tcPr>
          <w:p w:rsidR="0089724A" w:rsidRPr="0095710C" w:rsidRDefault="0089724A" w:rsidP="0095710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95710C">
              <w:rPr>
                <w:sz w:val="22"/>
              </w:rPr>
              <w:t>(</w:t>
            </w:r>
            <w:r w:rsidR="0095710C" w:rsidRPr="0095710C">
              <w:rPr>
                <w:sz w:val="22"/>
              </w:rPr>
              <w:t>647</w:t>
            </w:r>
            <w:r w:rsidRPr="0095710C">
              <w:rPr>
                <w:sz w:val="22"/>
              </w:rPr>
              <w:t>)</w:t>
            </w:r>
          </w:p>
        </w:tc>
      </w:tr>
      <w:tr w:rsidR="0028476C" w:rsidRPr="0053635E" w:rsidTr="00B31FC1">
        <w:trPr>
          <w:cantSplit/>
          <w:jc w:val="center"/>
        </w:trPr>
        <w:tc>
          <w:tcPr>
            <w:tcW w:w="3813" w:type="pct"/>
            <w:tcBorders>
              <w:top w:val="nil"/>
              <w:left w:val="nil"/>
              <w:bottom w:val="nil"/>
              <w:right w:val="nil"/>
            </w:tcBorders>
          </w:tcPr>
          <w:p w:rsidR="0028476C" w:rsidRPr="0095710C" w:rsidRDefault="0028476C" w:rsidP="003642E2">
            <w:pPr>
              <w:widowControl/>
              <w:suppressAutoHyphens/>
              <w:spacing w:after="20"/>
              <w:ind w:left="200" w:hanging="200"/>
              <w:rPr>
                <w:sz w:val="22"/>
              </w:rPr>
            </w:pPr>
            <w:r w:rsidRPr="0095710C">
              <w:rPr>
                <w:sz w:val="22"/>
              </w:rPr>
              <w:t>Other income, net</w:t>
            </w:r>
            <w:r w:rsidRPr="0095710C">
              <w:rPr>
                <w:sz w:val="22"/>
              </w:rPr>
              <w:tab/>
            </w:r>
          </w:p>
        </w:tc>
        <w:tc>
          <w:tcPr>
            <w:tcW w:w="563" w:type="pct"/>
            <w:tcBorders>
              <w:top w:val="nil"/>
              <w:left w:val="nil"/>
              <w:right w:val="nil"/>
            </w:tcBorders>
            <w:vAlign w:val="bottom"/>
          </w:tcPr>
          <w:p w:rsidR="0028476C" w:rsidRPr="00C9237E" w:rsidRDefault="00C9237E"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9237E">
              <w:rPr>
                <w:sz w:val="22"/>
              </w:rPr>
              <w:t>382</w:t>
            </w:r>
          </w:p>
        </w:tc>
        <w:tc>
          <w:tcPr>
            <w:tcW w:w="624" w:type="pct"/>
            <w:tcBorders>
              <w:top w:val="nil"/>
              <w:left w:val="nil"/>
              <w:right w:val="nil"/>
            </w:tcBorders>
            <w:vAlign w:val="bottom"/>
          </w:tcPr>
          <w:p w:rsidR="0028476C" w:rsidRPr="0095710C" w:rsidRDefault="0095710C" w:rsidP="0095710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95710C">
              <w:rPr>
                <w:sz w:val="22"/>
              </w:rPr>
              <w:t>798</w:t>
            </w:r>
          </w:p>
        </w:tc>
      </w:tr>
      <w:tr w:rsidR="00B31FC1" w:rsidRPr="0053635E" w:rsidTr="00D46A9B">
        <w:trPr>
          <w:cantSplit/>
          <w:jc w:val="center"/>
        </w:trPr>
        <w:tc>
          <w:tcPr>
            <w:tcW w:w="3813" w:type="pct"/>
            <w:tcBorders>
              <w:top w:val="nil"/>
              <w:left w:val="nil"/>
              <w:bottom w:val="nil"/>
              <w:right w:val="nil"/>
            </w:tcBorders>
          </w:tcPr>
          <w:p w:rsidR="00B31FC1" w:rsidRPr="0095710C" w:rsidRDefault="00B31FC1" w:rsidP="00B31FC1">
            <w:pPr>
              <w:widowControl/>
              <w:suppressAutoHyphens/>
              <w:ind w:left="200" w:hanging="200"/>
              <w:rPr>
                <w:bCs/>
                <w:sz w:val="22"/>
              </w:rPr>
            </w:pPr>
            <w:r w:rsidRPr="0095710C">
              <w:rPr>
                <w:bCs/>
                <w:sz w:val="22"/>
              </w:rPr>
              <w:t>Interest income</w:t>
            </w:r>
          </w:p>
        </w:tc>
        <w:tc>
          <w:tcPr>
            <w:tcW w:w="563" w:type="pct"/>
            <w:tcBorders>
              <w:top w:val="nil"/>
              <w:left w:val="nil"/>
              <w:right w:val="nil"/>
            </w:tcBorders>
            <w:vAlign w:val="bottom"/>
          </w:tcPr>
          <w:p w:rsidR="00B31FC1" w:rsidRPr="00E31620" w:rsidRDefault="00B31FC1" w:rsidP="00B31FC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Pr>
                <w:sz w:val="22"/>
              </w:rPr>
              <w:t>24</w:t>
            </w:r>
          </w:p>
        </w:tc>
        <w:tc>
          <w:tcPr>
            <w:tcW w:w="624" w:type="pct"/>
            <w:tcBorders>
              <w:top w:val="nil"/>
              <w:left w:val="nil"/>
              <w:right w:val="nil"/>
            </w:tcBorders>
            <w:vAlign w:val="bottom"/>
          </w:tcPr>
          <w:p w:rsidR="00B31FC1" w:rsidRPr="00E31620" w:rsidRDefault="00B31FC1" w:rsidP="00B31FC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Pr>
                <w:sz w:val="22"/>
              </w:rPr>
              <w:t>2</w:t>
            </w:r>
          </w:p>
        </w:tc>
      </w:tr>
      <w:tr w:rsidR="00F125FD" w:rsidRPr="0053635E" w:rsidTr="00B31FC1">
        <w:trPr>
          <w:cantSplit/>
          <w:jc w:val="center"/>
        </w:trPr>
        <w:tc>
          <w:tcPr>
            <w:tcW w:w="3813" w:type="pct"/>
            <w:tcBorders>
              <w:top w:val="nil"/>
              <w:left w:val="nil"/>
              <w:bottom w:val="nil"/>
              <w:right w:val="nil"/>
            </w:tcBorders>
          </w:tcPr>
          <w:p w:rsidR="00F125FD" w:rsidRPr="0095710C" w:rsidRDefault="00C9237E" w:rsidP="00C9237E">
            <w:pPr>
              <w:widowControl/>
              <w:suppressAutoHyphens/>
              <w:ind w:left="200" w:hanging="200"/>
              <w:rPr>
                <w:sz w:val="22"/>
              </w:rPr>
            </w:pPr>
            <w:r>
              <w:rPr>
                <w:b/>
                <w:bCs/>
                <w:sz w:val="22"/>
              </w:rPr>
              <w:t>Income (l</w:t>
            </w:r>
            <w:r w:rsidR="00F511C6" w:rsidRPr="0095710C">
              <w:rPr>
                <w:b/>
                <w:bCs/>
                <w:sz w:val="22"/>
              </w:rPr>
              <w:t>oss</w:t>
            </w:r>
            <w:r>
              <w:rPr>
                <w:b/>
                <w:bCs/>
                <w:sz w:val="22"/>
              </w:rPr>
              <w:t>)</w:t>
            </w:r>
            <w:r w:rsidR="00F511C6" w:rsidRPr="0095710C">
              <w:rPr>
                <w:b/>
                <w:bCs/>
                <w:sz w:val="22"/>
              </w:rPr>
              <w:t xml:space="preserve"> before </w:t>
            </w:r>
            <w:r>
              <w:rPr>
                <w:b/>
                <w:bCs/>
                <w:sz w:val="22"/>
              </w:rPr>
              <w:t>provision (</w:t>
            </w:r>
            <w:r w:rsidR="00F511C6" w:rsidRPr="0095710C">
              <w:rPr>
                <w:b/>
                <w:bCs/>
                <w:sz w:val="22"/>
              </w:rPr>
              <w:t>benefit</w:t>
            </w:r>
            <w:r>
              <w:rPr>
                <w:b/>
                <w:bCs/>
                <w:sz w:val="22"/>
              </w:rPr>
              <w:t>)</w:t>
            </w:r>
            <w:r w:rsidR="00F125FD" w:rsidRPr="0095710C">
              <w:rPr>
                <w:b/>
                <w:bCs/>
                <w:sz w:val="22"/>
              </w:rPr>
              <w:t xml:space="preserve"> for income taxes</w:t>
            </w:r>
            <w:r w:rsidR="00F125FD" w:rsidRPr="0095710C">
              <w:rPr>
                <w:sz w:val="22"/>
              </w:rPr>
              <w:tab/>
            </w:r>
          </w:p>
        </w:tc>
        <w:tc>
          <w:tcPr>
            <w:tcW w:w="563" w:type="pct"/>
            <w:tcBorders>
              <w:left w:val="nil"/>
              <w:right w:val="nil"/>
            </w:tcBorders>
            <w:vAlign w:val="bottom"/>
          </w:tcPr>
          <w:p w:rsidR="00F125FD" w:rsidRPr="00C9237E" w:rsidRDefault="00C9237E" w:rsidP="00C92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C9237E">
              <w:rPr>
                <w:sz w:val="22"/>
              </w:rPr>
              <w:t>9</w:t>
            </w:r>
            <w:r w:rsidR="00F125FD" w:rsidRPr="00C9237E">
              <w:rPr>
                <w:sz w:val="22"/>
              </w:rPr>
              <w:t>,</w:t>
            </w:r>
            <w:r w:rsidRPr="00C9237E">
              <w:rPr>
                <w:sz w:val="22"/>
              </w:rPr>
              <w:t>330</w:t>
            </w:r>
          </w:p>
        </w:tc>
        <w:tc>
          <w:tcPr>
            <w:tcW w:w="624" w:type="pct"/>
            <w:tcBorders>
              <w:left w:val="nil"/>
              <w:right w:val="nil"/>
            </w:tcBorders>
            <w:vAlign w:val="bottom"/>
          </w:tcPr>
          <w:p w:rsidR="00F125FD" w:rsidRPr="0095710C" w:rsidRDefault="004C4113" w:rsidP="0095710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95710C">
              <w:rPr>
                <w:sz w:val="22"/>
              </w:rPr>
              <w:t>(</w:t>
            </w:r>
            <w:r w:rsidR="0095710C" w:rsidRPr="0095710C">
              <w:rPr>
                <w:sz w:val="22"/>
              </w:rPr>
              <w:t>750</w:t>
            </w:r>
            <w:r w:rsidRPr="0095710C">
              <w:rPr>
                <w:sz w:val="22"/>
              </w:rPr>
              <w:t>)</w:t>
            </w:r>
          </w:p>
        </w:tc>
      </w:tr>
      <w:tr w:rsidR="00B31FC1" w:rsidRPr="0053635E" w:rsidTr="00B31FC1">
        <w:trPr>
          <w:cantSplit/>
          <w:jc w:val="center"/>
        </w:trPr>
        <w:tc>
          <w:tcPr>
            <w:tcW w:w="3813" w:type="pct"/>
            <w:tcBorders>
              <w:top w:val="nil"/>
              <w:left w:val="nil"/>
              <w:bottom w:val="nil"/>
              <w:right w:val="nil"/>
            </w:tcBorders>
          </w:tcPr>
          <w:p w:rsidR="00B31FC1" w:rsidRPr="0095710C" w:rsidRDefault="00B31FC1" w:rsidP="00C9237E">
            <w:pPr>
              <w:widowControl/>
              <w:suppressAutoHyphens/>
              <w:ind w:left="200" w:hanging="200"/>
              <w:rPr>
                <w:sz w:val="22"/>
              </w:rPr>
            </w:pPr>
            <w:r>
              <w:rPr>
                <w:b/>
                <w:bCs/>
                <w:sz w:val="22"/>
              </w:rPr>
              <w:t>Provision (b</w:t>
            </w:r>
            <w:r w:rsidRPr="0095710C">
              <w:rPr>
                <w:b/>
                <w:bCs/>
                <w:sz w:val="22"/>
              </w:rPr>
              <w:t>enefit</w:t>
            </w:r>
            <w:r>
              <w:rPr>
                <w:b/>
                <w:bCs/>
                <w:sz w:val="22"/>
              </w:rPr>
              <w:t>)</w:t>
            </w:r>
            <w:r w:rsidRPr="0095710C">
              <w:rPr>
                <w:b/>
                <w:bCs/>
                <w:sz w:val="22"/>
              </w:rPr>
              <w:t xml:space="preserve"> for income taxes</w:t>
            </w:r>
            <w:r w:rsidRPr="0095710C">
              <w:rPr>
                <w:sz w:val="22"/>
              </w:rPr>
              <w:tab/>
            </w:r>
          </w:p>
        </w:tc>
        <w:tc>
          <w:tcPr>
            <w:tcW w:w="563" w:type="pct"/>
            <w:tcBorders>
              <w:top w:val="nil"/>
              <w:left w:val="nil"/>
              <w:right w:val="nil"/>
            </w:tcBorders>
            <w:vAlign w:val="bottom"/>
          </w:tcPr>
          <w:p w:rsidR="00B31FC1" w:rsidRPr="00E31620" w:rsidRDefault="00B31FC1" w:rsidP="00B31FC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Pr>
                <w:sz w:val="22"/>
              </w:rPr>
              <w:t>3,856</w:t>
            </w:r>
          </w:p>
        </w:tc>
        <w:tc>
          <w:tcPr>
            <w:tcW w:w="624" w:type="pct"/>
            <w:tcBorders>
              <w:top w:val="nil"/>
              <w:left w:val="nil"/>
              <w:right w:val="nil"/>
            </w:tcBorders>
            <w:vAlign w:val="bottom"/>
          </w:tcPr>
          <w:p w:rsidR="00B31FC1" w:rsidRPr="00E31620" w:rsidRDefault="00B31FC1" w:rsidP="00B31FC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Pr>
                <w:sz w:val="22"/>
              </w:rPr>
              <w:t>(315)</w:t>
            </w:r>
          </w:p>
        </w:tc>
      </w:tr>
      <w:tr w:rsidR="00F125FD" w:rsidRPr="0053635E" w:rsidTr="00B31FC1">
        <w:trPr>
          <w:cantSplit/>
          <w:jc w:val="center"/>
        </w:trPr>
        <w:tc>
          <w:tcPr>
            <w:tcW w:w="3813" w:type="pct"/>
            <w:tcBorders>
              <w:top w:val="nil"/>
              <w:left w:val="nil"/>
              <w:bottom w:val="nil"/>
              <w:right w:val="nil"/>
            </w:tcBorders>
          </w:tcPr>
          <w:p w:rsidR="00F125FD" w:rsidRPr="0095710C" w:rsidRDefault="00F125FD" w:rsidP="00F511C6">
            <w:pPr>
              <w:widowControl/>
              <w:suppressAutoHyphens/>
              <w:spacing w:after="40"/>
              <w:ind w:left="200" w:hanging="200"/>
              <w:rPr>
                <w:sz w:val="22"/>
              </w:rPr>
            </w:pPr>
            <w:r w:rsidRPr="0095710C">
              <w:rPr>
                <w:b/>
                <w:bCs/>
                <w:sz w:val="22"/>
              </w:rPr>
              <w:t xml:space="preserve">Net </w:t>
            </w:r>
            <w:r w:rsidR="00C9237E">
              <w:rPr>
                <w:b/>
                <w:bCs/>
                <w:sz w:val="22"/>
              </w:rPr>
              <w:t>income (</w:t>
            </w:r>
            <w:r w:rsidR="007B2A65" w:rsidRPr="0095710C">
              <w:rPr>
                <w:b/>
                <w:bCs/>
                <w:sz w:val="22"/>
              </w:rPr>
              <w:t>loss</w:t>
            </w:r>
            <w:r w:rsidR="00C9237E">
              <w:rPr>
                <w:b/>
                <w:bCs/>
                <w:sz w:val="22"/>
              </w:rPr>
              <w:t>)</w:t>
            </w:r>
            <w:r w:rsidRPr="0095710C">
              <w:rPr>
                <w:sz w:val="22"/>
              </w:rPr>
              <w:tab/>
            </w:r>
          </w:p>
        </w:tc>
        <w:tc>
          <w:tcPr>
            <w:tcW w:w="563" w:type="pct"/>
            <w:tcBorders>
              <w:left w:val="nil"/>
              <w:bottom w:val="nil"/>
              <w:right w:val="nil"/>
            </w:tcBorders>
            <w:vAlign w:val="bottom"/>
          </w:tcPr>
          <w:p w:rsidR="00F125FD" w:rsidRPr="00C9237E" w:rsidRDefault="00F125FD" w:rsidP="00C9237E">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C9237E">
              <w:rPr>
                <w:sz w:val="22"/>
              </w:rPr>
              <w:t>$</w:t>
            </w:r>
            <w:r w:rsidR="004B6A35" w:rsidRPr="00C9237E">
              <w:rPr>
                <w:sz w:val="22"/>
              </w:rPr>
              <w:t xml:space="preserve"> </w:t>
            </w:r>
            <w:r w:rsidR="00C9237E" w:rsidRPr="00C9237E">
              <w:rPr>
                <w:sz w:val="22"/>
              </w:rPr>
              <w:t xml:space="preserve">   </w:t>
            </w:r>
            <w:r w:rsidRPr="00C9237E">
              <w:rPr>
                <w:sz w:val="22"/>
              </w:rPr>
              <w:t xml:space="preserve"> </w:t>
            </w:r>
            <w:r w:rsidR="00C9237E" w:rsidRPr="00C9237E">
              <w:rPr>
                <w:sz w:val="22"/>
              </w:rPr>
              <w:t>5</w:t>
            </w:r>
            <w:r w:rsidR="00F746B0" w:rsidRPr="00C9237E">
              <w:rPr>
                <w:sz w:val="22"/>
              </w:rPr>
              <w:t>,</w:t>
            </w:r>
            <w:r w:rsidR="00C9237E" w:rsidRPr="00C9237E">
              <w:rPr>
                <w:sz w:val="22"/>
              </w:rPr>
              <w:t>474</w:t>
            </w:r>
          </w:p>
        </w:tc>
        <w:tc>
          <w:tcPr>
            <w:tcW w:w="624" w:type="pct"/>
            <w:tcBorders>
              <w:left w:val="nil"/>
              <w:bottom w:val="nil"/>
              <w:right w:val="nil"/>
            </w:tcBorders>
            <w:vAlign w:val="bottom"/>
          </w:tcPr>
          <w:p w:rsidR="00F125FD" w:rsidRPr="0095710C" w:rsidRDefault="00F125FD" w:rsidP="0095710C">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95710C">
              <w:rPr>
                <w:sz w:val="22"/>
              </w:rPr>
              <w:t>$</w:t>
            </w:r>
            <w:r w:rsidR="004B6A35" w:rsidRPr="0095710C">
              <w:rPr>
                <w:sz w:val="22"/>
              </w:rPr>
              <w:t xml:space="preserve">  </w:t>
            </w:r>
            <w:r w:rsidR="00246025">
              <w:rPr>
                <w:sz w:val="22"/>
              </w:rPr>
              <w:t xml:space="preserve">   </w:t>
            </w:r>
            <w:r w:rsidRPr="0095710C">
              <w:rPr>
                <w:sz w:val="22"/>
              </w:rPr>
              <w:t xml:space="preserve"> </w:t>
            </w:r>
            <w:r w:rsidR="00BE10DC" w:rsidRPr="0095710C">
              <w:rPr>
                <w:sz w:val="22"/>
              </w:rPr>
              <w:t xml:space="preserve">  </w:t>
            </w:r>
            <w:r w:rsidR="004C4113" w:rsidRPr="0095710C">
              <w:rPr>
                <w:sz w:val="22"/>
              </w:rPr>
              <w:t>(4</w:t>
            </w:r>
            <w:r w:rsidR="0095710C" w:rsidRPr="0095710C">
              <w:rPr>
                <w:sz w:val="22"/>
              </w:rPr>
              <w:t>35</w:t>
            </w:r>
            <w:r w:rsidR="004C4113" w:rsidRPr="0095710C">
              <w:rPr>
                <w:sz w:val="22"/>
              </w:rPr>
              <w:t>)</w:t>
            </w:r>
          </w:p>
        </w:tc>
      </w:tr>
    </w:tbl>
    <w:p w:rsidR="00CA14BE" w:rsidRPr="00DC4A73" w:rsidRDefault="00CA14BE" w:rsidP="00EE2E7E">
      <w:pPr>
        <w:keepNext/>
        <w:keepLines/>
        <w:widowControl/>
        <w:tabs>
          <w:tab w:val="left" w:pos="-720"/>
          <w:tab w:val="left" w:pos="720"/>
          <w:tab w:val="left" w:pos="1440"/>
        </w:tabs>
        <w:suppressAutoHyphens/>
        <w:spacing w:before="240" w:after="240"/>
        <w:jc w:val="both"/>
        <w:rPr>
          <w:b/>
          <w:bCs/>
          <w:sz w:val="22"/>
        </w:rPr>
      </w:pPr>
      <w:r w:rsidRPr="00DC4A73">
        <w:rPr>
          <w:b/>
          <w:bCs/>
          <w:sz w:val="22"/>
        </w:rPr>
        <w:t>Geographic Information</w:t>
      </w:r>
    </w:p>
    <w:p w:rsidR="00744A72" w:rsidRDefault="00CA14BE" w:rsidP="00EE2E7E">
      <w:pPr>
        <w:widowControl/>
        <w:tabs>
          <w:tab w:val="left" w:pos="-720"/>
        </w:tabs>
        <w:suppressAutoHyphens/>
        <w:spacing w:after="240"/>
        <w:ind w:firstLine="720"/>
        <w:jc w:val="both"/>
        <w:rPr>
          <w:sz w:val="22"/>
        </w:rPr>
      </w:pPr>
      <w:r w:rsidRPr="00DC4A73">
        <w:rPr>
          <w:sz w:val="22"/>
        </w:rPr>
        <w:t>Primarily all of the Company</w:t>
      </w:r>
      <w:r w:rsidR="00744A72" w:rsidRPr="00DC4A73">
        <w:rPr>
          <w:sz w:val="22"/>
        </w:rPr>
        <w:t>’</w:t>
      </w:r>
      <w:r w:rsidRPr="00DC4A73">
        <w:rPr>
          <w:sz w:val="22"/>
        </w:rPr>
        <w:t>s revenues and long lived assets are attributable to the United States, the Company</w:t>
      </w:r>
      <w:r w:rsidR="00744A72" w:rsidRPr="00DC4A73">
        <w:rPr>
          <w:sz w:val="22"/>
        </w:rPr>
        <w:t>’</w:t>
      </w:r>
      <w:r w:rsidRPr="00DC4A73">
        <w:rPr>
          <w:sz w:val="22"/>
        </w:rPr>
        <w:t>s country of domicile.</w:t>
      </w:r>
    </w:p>
    <w:p w:rsidR="00744A72" w:rsidRPr="007D39D7" w:rsidRDefault="00CA14BE" w:rsidP="00EE2E7E">
      <w:pPr>
        <w:keepNext/>
        <w:keepLines/>
        <w:widowControl/>
        <w:tabs>
          <w:tab w:val="left" w:pos="-720"/>
          <w:tab w:val="left" w:pos="720"/>
          <w:tab w:val="left" w:pos="1440"/>
        </w:tabs>
        <w:suppressAutoHyphens/>
        <w:spacing w:after="240"/>
        <w:jc w:val="both"/>
        <w:rPr>
          <w:b/>
          <w:bCs/>
          <w:sz w:val="22"/>
        </w:rPr>
      </w:pPr>
      <w:r w:rsidRPr="007D39D7">
        <w:rPr>
          <w:b/>
          <w:bCs/>
          <w:sz w:val="22"/>
        </w:rPr>
        <w:lastRenderedPageBreak/>
        <w:t>1</w:t>
      </w:r>
      <w:r w:rsidR="00967665">
        <w:rPr>
          <w:b/>
          <w:bCs/>
          <w:sz w:val="22"/>
        </w:rPr>
        <w:t>2</w:t>
      </w:r>
      <w:r w:rsidRPr="007D39D7">
        <w:rPr>
          <w:b/>
          <w:bCs/>
          <w:sz w:val="22"/>
        </w:rPr>
        <w:t>. Related Party Transactions</w:t>
      </w:r>
    </w:p>
    <w:p w:rsidR="00C6180F" w:rsidRPr="007D39D7" w:rsidRDefault="00CA14BE" w:rsidP="00C6180F">
      <w:pPr>
        <w:keepNext/>
        <w:keepLines/>
        <w:widowControl/>
        <w:tabs>
          <w:tab w:val="left" w:pos="-720"/>
          <w:tab w:val="left" w:pos="720"/>
          <w:tab w:val="left" w:pos="1440"/>
        </w:tabs>
        <w:suppressAutoHyphens/>
        <w:spacing w:after="240"/>
        <w:jc w:val="both"/>
        <w:rPr>
          <w:b/>
          <w:bCs/>
          <w:sz w:val="22"/>
        </w:rPr>
      </w:pPr>
      <w:r w:rsidRPr="007D39D7">
        <w:rPr>
          <w:b/>
          <w:bCs/>
          <w:sz w:val="22"/>
        </w:rPr>
        <w:t>Management, Facility Fe</w:t>
      </w:r>
      <w:r w:rsidR="00C6180F" w:rsidRPr="007D39D7">
        <w:rPr>
          <w:b/>
          <w:bCs/>
          <w:sz w:val="22"/>
        </w:rPr>
        <w:t>es and Chassis Leasing</w:t>
      </w:r>
    </w:p>
    <w:p w:rsidR="000E71F5" w:rsidRPr="007D39D7" w:rsidRDefault="00C6180F" w:rsidP="000E71F5">
      <w:pPr>
        <w:pStyle w:val="Body"/>
        <w:ind w:firstLine="720"/>
        <w:rPr>
          <w:sz w:val="22"/>
          <w:szCs w:val="22"/>
        </w:rPr>
      </w:pPr>
      <w:r w:rsidRPr="007D39D7">
        <w:rPr>
          <w:sz w:val="22"/>
          <w:szCs w:val="22"/>
        </w:rPr>
        <w:t>The Company incurs charges from Seacastle for facility fees</w:t>
      </w:r>
      <w:r w:rsidR="007D39D7">
        <w:rPr>
          <w:sz w:val="22"/>
          <w:szCs w:val="22"/>
        </w:rPr>
        <w:t>.</w:t>
      </w:r>
      <w:r w:rsidRPr="007D39D7">
        <w:rPr>
          <w:sz w:val="22"/>
          <w:szCs w:val="22"/>
        </w:rPr>
        <w:t xml:space="preserve">  The Company also charges management fees to a subsidiary of Seacastle for expenses incurred and services performed on its behalf.  For the three</w:t>
      </w:r>
      <w:r w:rsidR="0024525B" w:rsidRPr="007D39D7">
        <w:rPr>
          <w:sz w:val="22"/>
          <w:szCs w:val="22"/>
        </w:rPr>
        <w:t xml:space="preserve"> months ended</w:t>
      </w:r>
      <w:r w:rsidRPr="007D39D7">
        <w:rPr>
          <w:sz w:val="22"/>
          <w:szCs w:val="22"/>
        </w:rPr>
        <w:t xml:space="preserve"> </w:t>
      </w:r>
      <w:r w:rsidR="007D39D7">
        <w:rPr>
          <w:sz w:val="22"/>
          <w:szCs w:val="22"/>
        </w:rPr>
        <w:t>March</w:t>
      </w:r>
      <w:r w:rsidRPr="007D39D7">
        <w:rPr>
          <w:sz w:val="22"/>
          <w:szCs w:val="22"/>
        </w:rPr>
        <w:t xml:space="preserve"> 3</w:t>
      </w:r>
      <w:r w:rsidR="007D39D7">
        <w:rPr>
          <w:sz w:val="22"/>
          <w:szCs w:val="22"/>
        </w:rPr>
        <w:t>1</w:t>
      </w:r>
      <w:r w:rsidRPr="007D39D7">
        <w:rPr>
          <w:sz w:val="22"/>
          <w:szCs w:val="22"/>
        </w:rPr>
        <w:t>, 201</w:t>
      </w:r>
      <w:r w:rsidR="007D39D7">
        <w:rPr>
          <w:sz w:val="22"/>
          <w:szCs w:val="22"/>
        </w:rPr>
        <w:t>4 and 2013</w:t>
      </w:r>
      <w:r w:rsidR="0024525B" w:rsidRPr="007D39D7">
        <w:rPr>
          <w:sz w:val="22"/>
          <w:szCs w:val="22"/>
        </w:rPr>
        <w:t>,</w:t>
      </w:r>
      <w:r w:rsidRPr="007D39D7">
        <w:rPr>
          <w:sz w:val="22"/>
          <w:szCs w:val="22"/>
        </w:rPr>
        <w:t xml:space="preserve"> the above activity resulted in income </w:t>
      </w:r>
      <w:r w:rsidR="00D440A8" w:rsidRPr="007D39D7">
        <w:rPr>
          <w:sz w:val="22"/>
          <w:szCs w:val="22"/>
        </w:rPr>
        <w:t xml:space="preserve">for the Company, on a net </w:t>
      </w:r>
      <w:r w:rsidR="00D440A8" w:rsidRPr="00AF35B2">
        <w:rPr>
          <w:sz w:val="22"/>
          <w:szCs w:val="22"/>
        </w:rPr>
        <w:t xml:space="preserve">basis, </w:t>
      </w:r>
      <w:r w:rsidRPr="00AF35B2">
        <w:rPr>
          <w:sz w:val="22"/>
          <w:szCs w:val="22"/>
        </w:rPr>
        <w:t>of $</w:t>
      </w:r>
      <w:r w:rsidR="00AF35B2" w:rsidRPr="00AF35B2">
        <w:rPr>
          <w:sz w:val="22"/>
          <w:szCs w:val="22"/>
        </w:rPr>
        <w:t>24</w:t>
      </w:r>
      <w:r w:rsidRPr="00AF35B2">
        <w:rPr>
          <w:sz w:val="22"/>
          <w:szCs w:val="22"/>
        </w:rPr>
        <w:t xml:space="preserve"> and $</w:t>
      </w:r>
      <w:r w:rsidR="007D39D7" w:rsidRPr="00AF35B2">
        <w:rPr>
          <w:sz w:val="22"/>
          <w:szCs w:val="22"/>
        </w:rPr>
        <w:t>74</w:t>
      </w:r>
      <w:r w:rsidRPr="00AF35B2">
        <w:rPr>
          <w:sz w:val="22"/>
          <w:szCs w:val="22"/>
        </w:rPr>
        <w:t xml:space="preserve">, respectively. </w:t>
      </w:r>
      <w:r w:rsidR="0024525B" w:rsidRPr="00AF35B2">
        <w:rPr>
          <w:sz w:val="22"/>
          <w:szCs w:val="22"/>
        </w:rPr>
        <w:t xml:space="preserve"> </w:t>
      </w:r>
      <w:r w:rsidRPr="00AF35B2">
        <w:rPr>
          <w:sz w:val="22"/>
          <w:szCs w:val="22"/>
        </w:rPr>
        <w:t xml:space="preserve">These amounts are </w:t>
      </w:r>
      <w:r w:rsidR="00347335" w:rsidRPr="00AF35B2">
        <w:rPr>
          <w:sz w:val="22"/>
          <w:szCs w:val="22"/>
        </w:rPr>
        <w:t>included</w:t>
      </w:r>
      <w:r w:rsidRPr="00AF35B2">
        <w:rPr>
          <w:sz w:val="22"/>
          <w:szCs w:val="22"/>
        </w:rPr>
        <w:t xml:space="preserve"> in Selling, general and administrative expenses on the Consolidated Statements of Operations. The Company has a net receivable from affiliates of $</w:t>
      </w:r>
      <w:r w:rsidR="00AF35B2" w:rsidRPr="00AF35B2">
        <w:rPr>
          <w:sz w:val="22"/>
          <w:szCs w:val="22"/>
        </w:rPr>
        <w:t>1,679</w:t>
      </w:r>
      <w:r w:rsidRPr="00AF35B2">
        <w:rPr>
          <w:sz w:val="22"/>
          <w:szCs w:val="22"/>
        </w:rPr>
        <w:t xml:space="preserve"> and $</w:t>
      </w:r>
      <w:r w:rsidR="000F4D80" w:rsidRPr="00AF35B2">
        <w:rPr>
          <w:sz w:val="22"/>
          <w:szCs w:val="22"/>
        </w:rPr>
        <w:t>1,</w:t>
      </w:r>
      <w:r w:rsidR="007D39D7" w:rsidRPr="00AF35B2">
        <w:rPr>
          <w:sz w:val="22"/>
          <w:szCs w:val="22"/>
        </w:rPr>
        <w:t>823</w:t>
      </w:r>
      <w:r w:rsidR="000F4D80" w:rsidRPr="00AF35B2">
        <w:rPr>
          <w:sz w:val="22"/>
          <w:szCs w:val="22"/>
        </w:rPr>
        <w:t xml:space="preserve"> </w:t>
      </w:r>
      <w:r w:rsidRPr="00AF35B2">
        <w:rPr>
          <w:sz w:val="22"/>
          <w:szCs w:val="22"/>
        </w:rPr>
        <w:t>at</w:t>
      </w:r>
      <w:r w:rsidR="0024525B" w:rsidRPr="00AF35B2">
        <w:rPr>
          <w:sz w:val="22"/>
          <w:szCs w:val="22"/>
        </w:rPr>
        <w:t xml:space="preserve"> </w:t>
      </w:r>
      <w:r w:rsidR="007D39D7" w:rsidRPr="00AF35B2">
        <w:rPr>
          <w:sz w:val="22"/>
          <w:szCs w:val="22"/>
        </w:rPr>
        <w:t>March</w:t>
      </w:r>
      <w:r w:rsidR="0024525B" w:rsidRPr="00AF35B2">
        <w:rPr>
          <w:sz w:val="22"/>
          <w:szCs w:val="22"/>
        </w:rPr>
        <w:t xml:space="preserve"> 3</w:t>
      </w:r>
      <w:r w:rsidR="007D39D7" w:rsidRPr="00AF35B2">
        <w:rPr>
          <w:sz w:val="22"/>
          <w:szCs w:val="22"/>
        </w:rPr>
        <w:t>1</w:t>
      </w:r>
      <w:r w:rsidR="0024525B" w:rsidRPr="00AF35B2">
        <w:rPr>
          <w:sz w:val="22"/>
          <w:szCs w:val="22"/>
        </w:rPr>
        <w:t>, 201</w:t>
      </w:r>
      <w:r w:rsidR="007D39D7" w:rsidRPr="00AF35B2">
        <w:rPr>
          <w:sz w:val="22"/>
          <w:szCs w:val="22"/>
        </w:rPr>
        <w:t>4</w:t>
      </w:r>
      <w:r w:rsidR="0024525B" w:rsidRPr="00AF35B2">
        <w:rPr>
          <w:sz w:val="22"/>
          <w:szCs w:val="22"/>
        </w:rPr>
        <w:t xml:space="preserve"> and</w:t>
      </w:r>
      <w:r w:rsidRPr="00AF35B2">
        <w:rPr>
          <w:sz w:val="22"/>
          <w:szCs w:val="22"/>
        </w:rPr>
        <w:t xml:space="preserve"> December 31, 201</w:t>
      </w:r>
      <w:r w:rsidR="007D39D7" w:rsidRPr="00AF35B2">
        <w:rPr>
          <w:sz w:val="22"/>
          <w:szCs w:val="22"/>
        </w:rPr>
        <w:t>3</w:t>
      </w:r>
      <w:r w:rsidRPr="00AF35B2">
        <w:rPr>
          <w:sz w:val="22"/>
          <w:szCs w:val="22"/>
        </w:rPr>
        <w:t>, respectively, which is included in Other assets on the Consolidated Balance Sheets.</w:t>
      </w:r>
    </w:p>
    <w:p w:rsidR="00746AE7" w:rsidRDefault="00CA14BE" w:rsidP="00746AE7">
      <w:pPr>
        <w:pStyle w:val="Body"/>
        <w:ind w:firstLine="720"/>
        <w:rPr>
          <w:sz w:val="22"/>
          <w:szCs w:val="22"/>
        </w:rPr>
      </w:pPr>
      <w:r w:rsidRPr="00597C55">
        <w:rPr>
          <w:sz w:val="22"/>
          <w:szCs w:val="22"/>
        </w:rPr>
        <w:t xml:space="preserve">The Company also leases chassis to the Florida East Coast </w:t>
      </w:r>
      <w:r w:rsidR="00E85ADC">
        <w:rPr>
          <w:sz w:val="22"/>
          <w:szCs w:val="22"/>
        </w:rPr>
        <w:t>R</w:t>
      </w:r>
      <w:r w:rsidRPr="00597C55">
        <w:rPr>
          <w:sz w:val="22"/>
          <w:szCs w:val="22"/>
        </w:rPr>
        <w:t>ailway (</w:t>
      </w:r>
      <w:r w:rsidR="00744A72" w:rsidRPr="00597C55">
        <w:rPr>
          <w:sz w:val="22"/>
          <w:szCs w:val="22"/>
        </w:rPr>
        <w:t>“</w:t>
      </w:r>
      <w:r w:rsidRPr="00597C55">
        <w:rPr>
          <w:sz w:val="22"/>
          <w:szCs w:val="22"/>
        </w:rPr>
        <w:t>FEC</w:t>
      </w:r>
      <w:r w:rsidR="00744A72" w:rsidRPr="00597C55">
        <w:rPr>
          <w:sz w:val="22"/>
          <w:szCs w:val="22"/>
        </w:rPr>
        <w:t>”</w:t>
      </w:r>
      <w:r w:rsidRPr="00597C55">
        <w:rPr>
          <w:sz w:val="22"/>
          <w:szCs w:val="22"/>
        </w:rPr>
        <w:t>) under term lease and pool arrangements. The parent company to the FEC is Florida East Coast Industries, Inc., which is owned by private equity funds managed by affiliates of Fortress</w:t>
      </w:r>
      <w:r w:rsidR="003A510E" w:rsidRPr="00597C55">
        <w:rPr>
          <w:sz w:val="22"/>
          <w:szCs w:val="22"/>
        </w:rPr>
        <w:t>.</w:t>
      </w:r>
      <w:r w:rsidRPr="00597C55">
        <w:rPr>
          <w:sz w:val="22"/>
          <w:szCs w:val="22"/>
        </w:rPr>
        <w:t xml:space="preserve"> For the </w:t>
      </w:r>
      <w:r w:rsidR="000E71F5" w:rsidRPr="00597C55">
        <w:rPr>
          <w:sz w:val="22"/>
          <w:szCs w:val="22"/>
        </w:rPr>
        <w:t>three</w:t>
      </w:r>
      <w:r w:rsidR="00F202FB" w:rsidRPr="00597C55">
        <w:rPr>
          <w:sz w:val="22"/>
          <w:szCs w:val="22"/>
        </w:rPr>
        <w:t xml:space="preserve"> </w:t>
      </w:r>
      <w:r w:rsidR="000E71F5" w:rsidRPr="00597C55">
        <w:rPr>
          <w:sz w:val="22"/>
          <w:szCs w:val="22"/>
        </w:rPr>
        <w:t xml:space="preserve">months </w:t>
      </w:r>
      <w:r w:rsidRPr="00597C55">
        <w:rPr>
          <w:sz w:val="22"/>
          <w:szCs w:val="22"/>
        </w:rPr>
        <w:t xml:space="preserve">ended </w:t>
      </w:r>
      <w:r w:rsidR="00597C55">
        <w:rPr>
          <w:sz w:val="22"/>
          <w:szCs w:val="22"/>
        </w:rPr>
        <w:t>March</w:t>
      </w:r>
      <w:r w:rsidRPr="00597C55">
        <w:rPr>
          <w:sz w:val="22"/>
          <w:szCs w:val="22"/>
        </w:rPr>
        <w:t> 3</w:t>
      </w:r>
      <w:r w:rsidR="00597C55">
        <w:rPr>
          <w:sz w:val="22"/>
          <w:szCs w:val="22"/>
        </w:rPr>
        <w:t>1</w:t>
      </w:r>
      <w:r w:rsidRPr="00597C55">
        <w:rPr>
          <w:sz w:val="22"/>
          <w:szCs w:val="22"/>
        </w:rPr>
        <w:t>, 201</w:t>
      </w:r>
      <w:r w:rsidR="00597C55">
        <w:rPr>
          <w:sz w:val="22"/>
          <w:szCs w:val="22"/>
        </w:rPr>
        <w:t>4 and 2013</w:t>
      </w:r>
      <w:r w:rsidRPr="00597C55">
        <w:rPr>
          <w:sz w:val="22"/>
          <w:szCs w:val="22"/>
        </w:rPr>
        <w:t xml:space="preserve">, the Company recorded chassis leasing revenue from </w:t>
      </w:r>
      <w:r w:rsidRPr="00E74ED9">
        <w:rPr>
          <w:sz w:val="22"/>
          <w:szCs w:val="22"/>
        </w:rPr>
        <w:t>FEC of $</w:t>
      </w:r>
      <w:r w:rsidR="00E74ED9" w:rsidRPr="00E74ED9">
        <w:rPr>
          <w:sz w:val="22"/>
          <w:szCs w:val="22"/>
        </w:rPr>
        <w:t>370</w:t>
      </w:r>
      <w:r w:rsidRPr="00E74ED9">
        <w:rPr>
          <w:sz w:val="22"/>
          <w:szCs w:val="22"/>
        </w:rPr>
        <w:t xml:space="preserve"> and $</w:t>
      </w:r>
      <w:r w:rsidR="00597C55" w:rsidRPr="00E74ED9">
        <w:rPr>
          <w:sz w:val="22"/>
          <w:szCs w:val="22"/>
        </w:rPr>
        <w:t>216</w:t>
      </w:r>
      <w:r w:rsidRPr="00E74ED9">
        <w:rPr>
          <w:sz w:val="22"/>
          <w:szCs w:val="22"/>
        </w:rPr>
        <w:t>, respectively</w:t>
      </w:r>
      <w:r w:rsidRPr="00597C55">
        <w:rPr>
          <w:sz w:val="22"/>
          <w:szCs w:val="22"/>
        </w:rPr>
        <w:t>.</w:t>
      </w:r>
      <w:r w:rsidR="00F202FB" w:rsidRPr="00597C55">
        <w:rPr>
          <w:sz w:val="22"/>
          <w:szCs w:val="22"/>
        </w:rPr>
        <w:t xml:space="preserve">  </w:t>
      </w:r>
      <w:r w:rsidR="00135F04" w:rsidRPr="00597C55">
        <w:rPr>
          <w:sz w:val="22"/>
          <w:szCs w:val="22"/>
        </w:rPr>
        <w:t xml:space="preserve"> These amounts are recorded in Equipment leasing revenue on the Consolidated Statement</w:t>
      </w:r>
      <w:r w:rsidR="00347335" w:rsidRPr="00597C55">
        <w:rPr>
          <w:sz w:val="22"/>
          <w:szCs w:val="22"/>
        </w:rPr>
        <w:t>s</w:t>
      </w:r>
      <w:r w:rsidR="00746AE7">
        <w:rPr>
          <w:sz w:val="22"/>
          <w:szCs w:val="22"/>
        </w:rPr>
        <w:t xml:space="preserve"> of Operations.</w:t>
      </w:r>
    </w:p>
    <w:p w:rsidR="00746AE7" w:rsidRDefault="00746AE7" w:rsidP="0086737A">
      <w:pPr>
        <w:pStyle w:val="Caption"/>
      </w:pPr>
    </w:p>
    <w:p w:rsidR="004614A8" w:rsidRPr="00597C55" w:rsidRDefault="00935A3B" w:rsidP="00746AE7">
      <w:pPr>
        <w:pStyle w:val="Body"/>
        <w:rPr>
          <w:b/>
          <w:bCs/>
          <w:sz w:val="22"/>
        </w:rPr>
      </w:pPr>
      <w:r w:rsidRPr="00597C55">
        <w:rPr>
          <w:b/>
          <w:bCs/>
          <w:sz w:val="22"/>
        </w:rPr>
        <w:t>1</w:t>
      </w:r>
      <w:r w:rsidR="00967665">
        <w:rPr>
          <w:b/>
          <w:bCs/>
          <w:sz w:val="22"/>
        </w:rPr>
        <w:t>3</w:t>
      </w:r>
      <w:r w:rsidR="00CA14BE" w:rsidRPr="00597C55">
        <w:rPr>
          <w:b/>
          <w:bCs/>
          <w:sz w:val="22"/>
        </w:rPr>
        <w:t>. Fair Value of Financial Instruments</w:t>
      </w:r>
    </w:p>
    <w:p w:rsidR="00CA14BE" w:rsidRPr="00597C55" w:rsidRDefault="00CA14BE" w:rsidP="00EE2E7E">
      <w:pPr>
        <w:widowControl/>
        <w:tabs>
          <w:tab w:val="left" w:pos="-720"/>
        </w:tabs>
        <w:suppressAutoHyphens/>
        <w:spacing w:after="240"/>
        <w:ind w:firstLine="720"/>
        <w:jc w:val="both"/>
        <w:rPr>
          <w:sz w:val="22"/>
        </w:rPr>
      </w:pPr>
      <w:r w:rsidRPr="00597C55">
        <w:rPr>
          <w:sz w:val="22"/>
        </w:rPr>
        <w:t>The following table sets forth the valuation of the Company</w:t>
      </w:r>
      <w:r w:rsidR="00744A72" w:rsidRPr="00597C55">
        <w:rPr>
          <w:sz w:val="22"/>
        </w:rPr>
        <w:t>’</w:t>
      </w:r>
      <w:r w:rsidRPr="00597C55">
        <w:rPr>
          <w:sz w:val="22"/>
        </w:rPr>
        <w:t>s financial assets and liabilities measured at fair value on a recurring basis by the input levels (as defined) at the dates indicated:</w:t>
      </w:r>
    </w:p>
    <w:tbl>
      <w:tblPr>
        <w:tblW w:w="4587" w:type="pct"/>
        <w:jc w:val="center"/>
        <w:tblCellMar>
          <w:left w:w="72" w:type="dxa"/>
          <w:right w:w="72" w:type="dxa"/>
        </w:tblCellMar>
        <w:tblLook w:val="0000" w:firstRow="0" w:lastRow="0" w:firstColumn="0" w:lastColumn="0" w:noHBand="0" w:noVBand="0"/>
      </w:tblPr>
      <w:tblGrid>
        <w:gridCol w:w="3955"/>
        <w:gridCol w:w="1326"/>
        <w:gridCol w:w="1403"/>
        <w:gridCol w:w="1386"/>
        <w:gridCol w:w="1309"/>
      </w:tblGrid>
      <w:tr w:rsidR="008744BA" w:rsidRPr="0053635E" w:rsidTr="0040010D">
        <w:trPr>
          <w:cantSplit/>
          <w:jc w:val="center"/>
        </w:trPr>
        <w:tc>
          <w:tcPr>
            <w:tcW w:w="2108" w:type="pct"/>
            <w:tcBorders>
              <w:top w:val="nil"/>
              <w:left w:val="nil"/>
              <w:bottom w:val="nil"/>
              <w:right w:val="nil"/>
            </w:tcBorders>
            <w:vAlign w:val="bottom"/>
          </w:tcPr>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highlight w:val="yellow"/>
              </w:rPr>
            </w:pPr>
          </w:p>
        </w:tc>
        <w:tc>
          <w:tcPr>
            <w:tcW w:w="707" w:type="pct"/>
            <w:tcBorders>
              <w:top w:val="nil"/>
              <w:left w:val="nil"/>
              <w:bottom w:val="single" w:sz="4" w:space="0" w:color="auto"/>
              <w:right w:val="nil"/>
            </w:tcBorders>
            <w:vAlign w:val="bottom"/>
          </w:tcPr>
          <w:p w:rsidR="00CA14BE" w:rsidRPr="00597C55" w:rsidRDefault="00874FFB" w:rsidP="00597C55">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 xml:space="preserve">Fair Value as of </w:t>
            </w:r>
            <w:r w:rsidR="008744BA" w:rsidRPr="00597C55">
              <w:rPr>
                <w:b/>
                <w:bCs/>
                <w:sz w:val="22"/>
              </w:rPr>
              <w:t xml:space="preserve">     </w:t>
            </w:r>
            <w:r w:rsidR="00597C55" w:rsidRPr="00597C55">
              <w:rPr>
                <w:b/>
                <w:bCs/>
                <w:sz w:val="22"/>
              </w:rPr>
              <w:t>March</w:t>
            </w:r>
            <w:r w:rsidRPr="00597C55">
              <w:rPr>
                <w:b/>
                <w:bCs/>
                <w:sz w:val="22"/>
              </w:rPr>
              <w:t xml:space="preserve"> 3</w:t>
            </w:r>
            <w:r w:rsidR="00597C55" w:rsidRPr="00597C55">
              <w:rPr>
                <w:b/>
                <w:bCs/>
                <w:sz w:val="22"/>
              </w:rPr>
              <w:t>1</w:t>
            </w:r>
            <w:r w:rsidR="00402089" w:rsidRPr="00597C55">
              <w:rPr>
                <w:b/>
                <w:bCs/>
                <w:sz w:val="22"/>
              </w:rPr>
              <w:t>,</w:t>
            </w:r>
          </w:p>
        </w:tc>
        <w:tc>
          <w:tcPr>
            <w:tcW w:w="2185" w:type="pct"/>
            <w:gridSpan w:val="3"/>
            <w:tcBorders>
              <w:top w:val="nil"/>
              <w:left w:val="nil"/>
              <w:bottom w:val="nil"/>
              <w:right w:val="nil"/>
            </w:tcBorders>
            <w:vAlign w:val="bottom"/>
          </w:tcPr>
          <w:p w:rsidR="00CA14BE" w:rsidRPr="00597C55" w:rsidRDefault="00CA14BE" w:rsidP="00597C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Fair Value Measurement as of</w:t>
            </w:r>
            <w:r w:rsidR="00744A72" w:rsidRPr="00597C55">
              <w:rPr>
                <w:b/>
                <w:bCs/>
                <w:sz w:val="22"/>
              </w:rPr>
              <w:br/>
            </w:r>
            <w:r w:rsidR="00597C55" w:rsidRPr="00597C55">
              <w:rPr>
                <w:b/>
                <w:bCs/>
                <w:sz w:val="22"/>
              </w:rPr>
              <w:t>March</w:t>
            </w:r>
            <w:r w:rsidR="00874FFB" w:rsidRPr="00597C55">
              <w:rPr>
                <w:b/>
                <w:bCs/>
                <w:sz w:val="22"/>
              </w:rPr>
              <w:t xml:space="preserve"> </w:t>
            </w:r>
            <w:r w:rsidRPr="00597C55">
              <w:rPr>
                <w:b/>
                <w:bCs/>
                <w:sz w:val="22"/>
              </w:rPr>
              <w:t>3</w:t>
            </w:r>
            <w:r w:rsidR="00597C55" w:rsidRPr="00597C55">
              <w:rPr>
                <w:b/>
                <w:bCs/>
                <w:sz w:val="22"/>
              </w:rPr>
              <w:t>1</w:t>
            </w:r>
            <w:r w:rsidRPr="00597C55">
              <w:rPr>
                <w:b/>
                <w:bCs/>
                <w:sz w:val="22"/>
              </w:rPr>
              <w:t>, 201</w:t>
            </w:r>
            <w:r w:rsidR="00597C55" w:rsidRPr="00597C55">
              <w:rPr>
                <w:b/>
                <w:bCs/>
                <w:sz w:val="22"/>
              </w:rPr>
              <w:t>4</w:t>
            </w:r>
            <w:r w:rsidRPr="00597C55">
              <w:rPr>
                <w:b/>
                <w:bCs/>
                <w:sz w:val="22"/>
              </w:rPr>
              <w:t xml:space="preserve"> using</w:t>
            </w:r>
            <w:r w:rsidR="00744A72" w:rsidRPr="00597C55">
              <w:rPr>
                <w:b/>
                <w:bCs/>
                <w:sz w:val="22"/>
              </w:rPr>
              <w:br/>
            </w:r>
            <w:r w:rsidRPr="00597C55">
              <w:rPr>
                <w:b/>
                <w:bCs/>
                <w:sz w:val="22"/>
              </w:rPr>
              <w:t>Fair Value Hierarchy</w:t>
            </w:r>
          </w:p>
        </w:tc>
      </w:tr>
      <w:tr w:rsidR="008744BA" w:rsidRPr="0053635E" w:rsidTr="0040010D">
        <w:trPr>
          <w:cantSplit/>
          <w:jc w:val="center"/>
        </w:trPr>
        <w:tc>
          <w:tcPr>
            <w:tcW w:w="2108" w:type="pct"/>
            <w:tcBorders>
              <w:top w:val="nil"/>
              <w:left w:val="nil"/>
              <w:bottom w:val="nil"/>
              <w:right w:val="nil"/>
            </w:tcBorders>
            <w:vAlign w:val="bottom"/>
          </w:tcPr>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highlight w:val="yellow"/>
              </w:rPr>
            </w:pPr>
          </w:p>
        </w:tc>
        <w:tc>
          <w:tcPr>
            <w:tcW w:w="707" w:type="pct"/>
            <w:tcBorders>
              <w:top w:val="single" w:sz="4" w:space="0" w:color="auto"/>
              <w:left w:val="nil"/>
              <w:bottom w:val="nil"/>
              <w:right w:val="nil"/>
            </w:tcBorders>
            <w:vAlign w:val="bottom"/>
          </w:tcPr>
          <w:p w:rsidR="00CA14BE" w:rsidRPr="00597C55" w:rsidRDefault="00CA14BE" w:rsidP="00597C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201</w:t>
            </w:r>
            <w:r w:rsidR="00597C55" w:rsidRPr="00597C55">
              <w:rPr>
                <w:b/>
                <w:bCs/>
                <w:sz w:val="22"/>
              </w:rPr>
              <w:t>4</w:t>
            </w:r>
          </w:p>
        </w:tc>
        <w:tc>
          <w:tcPr>
            <w:tcW w:w="748" w:type="pct"/>
            <w:tcBorders>
              <w:top w:val="nil"/>
              <w:left w:val="nil"/>
              <w:bottom w:val="nil"/>
              <w:right w:val="nil"/>
            </w:tcBorders>
            <w:vAlign w:val="bottom"/>
          </w:tcPr>
          <w:p w:rsidR="00CA14BE" w:rsidRPr="00597C55"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Level 1</w:t>
            </w:r>
          </w:p>
        </w:tc>
        <w:tc>
          <w:tcPr>
            <w:tcW w:w="739" w:type="pct"/>
            <w:tcBorders>
              <w:top w:val="nil"/>
              <w:left w:val="nil"/>
              <w:bottom w:val="nil"/>
              <w:right w:val="nil"/>
            </w:tcBorders>
            <w:vAlign w:val="bottom"/>
          </w:tcPr>
          <w:p w:rsidR="00CA14BE" w:rsidRPr="00597C55"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Level 2</w:t>
            </w:r>
          </w:p>
        </w:tc>
        <w:tc>
          <w:tcPr>
            <w:tcW w:w="698" w:type="pct"/>
            <w:tcBorders>
              <w:top w:val="nil"/>
              <w:left w:val="nil"/>
              <w:bottom w:val="nil"/>
              <w:right w:val="nil"/>
            </w:tcBorders>
            <w:vAlign w:val="bottom"/>
          </w:tcPr>
          <w:p w:rsidR="00CA14BE" w:rsidRPr="00597C55"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Level 3</w:t>
            </w:r>
          </w:p>
        </w:tc>
      </w:tr>
      <w:tr w:rsidR="008744BA" w:rsidRPr="0053635E" w:rsidTr="0040010D">
        <w:trPr>
          <w:cantSplit/>
          <w:jc w:val="center"/>
        </w:trPr>
        <w:tc>
          <w:tcPr>
            <w:tcW w:w="2108" w:type="pct"/>
            <w:tcBorders>
              <w:top w:val="nil"/>
              <w:left w:val="nil"/>
              <w:bottom w:val="nil"/>
              <w:right w:val="nil"/>
            </w:tcBorders>
          </w:tcPr>
          <w:p w:rsidR="00CA14BE" w:rsidRPr="00597C55"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22"/>
              </w:rPr>
            </w:pPr>
            <w:r w:rsidRPr="00597C55">
              <w:rPr>
                <w:sz w:val="22"/>
              </w:rPr>
              <w:t>Assets:</w:t>
            </w:r>
          </w:p>
        </w:tc>
        <w:tc>
          <w:tcPr>
            <w:tcW w:w="707" w:type="pct"/>
            <w:tcBorders>
              <w:top w:val="nil"/>
              <w:left w:val="nil"/>
              <w:bottom w:val="nil"/>
              <w:right w:val="nil"/>
            </w:tcBorders>
            <w:vAlign w:val="bottom"/>
          </w:tcPr>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748" w:type="pct"/>
            <w:tcBorders>
              <w:top w:val="nil"/>
              <w:left w:val="nil"/>
              <w:bottom w:val="nil"/>
              <w:right w:val="nil"/>
            </w:tcBorders>
            <w:vAlign w:val="bottom"/>
          </w:tcPr>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739" w:type="pct"/>
            <w:tcBorders>
              <w:top w:val="nil"/>
              <w:left w:val="nil"/>
              <w:bottom w:val="nil"/>
              <w:right w:val="nil"/>
            </w:tcBorders>
            <w:vAlign w:val="bottom"/>
          </w:tcPr>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698" w:type="pct"/>
            <w:tcBorders>
              <w:top w:val="nil"/>
              <w:left w:val="nil"/>
              <w:bottom w:val="nil"/>
              <w:right w:val="nil"/>
            </w:tcBorders>
            <w:vAlign w:val="bottom"/>
          </w:tcPr>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8744BA" w:rsidRPr="00376B51" w:rsidTr="0040010D">
        <w:trPr>
          <w:cantSplit/>
          <w:jc w:val="center"/>
        </w:trPr>
        <w:tc>
          <w:tcPr>
            <w:tcW w:w="2108" w:type="pct"/>
            <w:tcBorders>
              <w:top w:val="nil"/>
              <w:left w:val="nil"/>
              <w:bottom w:val="nil"/>
              <w:right w:val="nil"/>
            </w:tcBorders>
          </w:tcPr>
          <w:p w:rsidR="00FC728C" w:rsidRPr="00376B51" w:rsidRDefault="00FC728C" w:rsidP="008744BA">
            <w:pPr>
              <w:widowControl/>
              <w:suppressAutoHyphens/>
              <w:ind w:left="400" w:hanging="200"/>
              <w:rPr>
                <w:sz w:val="22"/>
              </w:rPr>
            </w:pPr>
            <w:r w:rsidRPr="00376B51">
              <w:rPr>
                <w:sz w:val="22"/>
              </w:rPr>
              <w:t>Cash and cash equivalents</w:t>
            </w:r>
            <w:r w:rsidRPr="00376B51">
              <w:rPr>
                <w:sz w:val="22"/>
              </w:rPr>
              <w:tab/>
            </w:r>
          </w:p>
        </w:tc>
        <w:tc>
          <w:tcPr>
            <w:tcW w:w="707" w:type="pct"/>
            <w:tcBorders>
              <w:top w:val="nil"/>
              <w:left w:val="nil"/>
              <w:bottom w:val="nil"/>
              <w:right w:val="nil"/>
            </w:tcBorders>
            <w:vAlign w:val="bottom"/>
          </w:tcPr>
          <w:p w:rsidR="00FC728C" w:rsidRPr="00376B51" w:rsidRDefault="00FC728C" w:rsidP="00376B5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76B51">
              <w:rPr>
                <w:sz w:val="22"/>
              </w:rPr>
              <w:t>$</w:t>
            </w:r>
            <w:r w:rsidR="008744BA" w:rsidRPr="00376B51">
              <w:rPr>
                <w:sz w:val="22"/>
              </w:rPr>
              <w:t xml:space="preserve">  </w:t>
            </w:r>
            <w:r w:rsidR="00C31460" w:rsidRPr="00376B51">
              <w:rPr>
                <w:sz w:val="22"/>
              </w:rPr>
              <w:t xml:space="preserve"> </w:t>
            </w:r>
            <w:r w:rsidR="00DA1D73" w:rsidRPr="00376B51">
              <w:rPr>
                <w:sz w:val="22"/>
              </w:rPr>
              <w:t xml:space="preserve">    </w:t>
            </w:r>
            <w:r w:rsidR="008744BA" w:rsidRPr="00376B51">
              <w:rPr>
                <w:sz w:val="22"/>
              </w:rPr>
              <w:t xml:space="preserve">   </w:t>
            </w:r>
            <w:r w:rsidR="00376B51" w:rsidRPr="00376B51">
              <w:rPr>
                <w:sz w:val="22"/>
              </w:rPr>
              <w:t>6</w:t>
            </w:r>
            <w:r w:rsidRPr="00376B51">
              <w:rPr>
                <w:sz w:val="22"/>
              </w:rPr>
              <w:t>,</w:t>
            </w:r>
            <w:r w:rsidR="00376B51" w:rsidRPr="00376B51">
              <w:rPr>
                <w:sz w:val="22"/>
              </w:rPr>
              <w:t>115</w:t>
            </w:r>
          </w:p>
        </w:tc>
        <w:tc>
          <w:tcPr>
            <w:tcW w:w="748" w:type="pct"/>
            <w:tcBorders>
              <w:top w:val="nil"/>
              <w:left w:val="nil"/>
              <w:bottom w:val="nil"/>
              <w:right w:val="nil"/>
            </w:tcBorders>
            <w:vAlign w:val="bottom"/>
          </w:tcPr>
          <w:p w:rsidR="00FC728C" w:rsidRPr="00376B51" w:rsidRDefault="00FC728C" w:rsidP="00376B5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76B51">
              <w:rPr>
                <w:sz w:val="22"/>
              </w:rPr>
              <w:t>$</w:t>
            </w:r>
            <w:r w:rsidR="008744BA" w:rsidRPr="00376B51">
              <w:rPr>
                <w:sz w:val="22"/>
              </w:rPr>
              <w:t xml:space="preserve">    </w:t>
            </w:r>
            <w:r w:rsidR="00DA1D73" w:rsidRPr="00376B51">
              <w:rPr>
                <w:sz w:val="22"/>
              </w:rPr>
              <w:t xml:space="preserve"> </w:t>
            </w:r>
            <w:r w:rsidR="00C31460" w:rsidRPr="00376B51">
              <w:rPr>
                <w:sz w:val="22"/>
              </w:rPr>
              <w:t xml:space="preserve"> </w:t>
            </w:r>
            <w:r w:rsidR="00DA1D73" w:rsidRPr="00376B51">
              <w:rPr>
                <w:sz w:val="22"/>
              </w:rPr>
              <w:t xml:space="preserve"> </w:t>
            </w:r>
            <w:r w:rsidR="008744BA" w:rsidRPr="00376B51">
              <w:rPr>
                <w:sz w:val="22"/>
              </w:rPr>
              <w:t xml:space="preserve">    </w:t>
            </w:r>
            <w:r w:rsidR="00376B51" w:rsidRPr="00376B51">
              <w:rPr>
                <w:sz w:val="22"/>
              </w:rPr>
              <w:t>6</w:t>
            </w:r>
            <w:r w:rsidRPr="00376B51">
              <w:rPr>
                <w:sz w:val="22"/>
              </w:rPr>
              <w:t>,</w:t>
            </w:r>
            <w:r w:rsidR="00376B51" w:rsidRPr="00376B51">
              <w:rPr>
                <w:sz w:val="22"/>
              </w:rPr>
              <w:t>115</w:t>
            </w:r>
          </w:p>
        </w:tc>
        <w:tc>
          <w:tcPr>
            <w:tcW w:w="739" w:type="pct"/>
            <w:tcBorders>
              <w:top w:val="nil"/>
              <w:left w:val="nil"/>
              <w:bottom w:val="nil"/>
              <w:right w:val="nil"/>
            </w:tcBorders>
            <w:vAlign w:val="bottom"/>
          </w:tcPr>
          <w:p w:rsidR="00FC728C" w:rsidRPr="00376B51" w:rsidRDefault="00FC728C" w:rsidP="00C3146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76B51">
              <w:rPr>
                <w:sz w:val="22"/>
              </w:rPr>
              <w:t>$</w:t>
            </w:r>
            <w:r w:rsidR="008744BA" w:rsidRPr="00376B51">
              <w:rPr>
                <w:sz w:val="22"/>
              </w:rPr>
              <w:t xml:space="preserve">    </w:t>
            </w:r>
            <w:r w:rsidR="00DA1D73" w:rsidRPr="00376B51">
              <w:rPr>
                <w:sz w:val="22"/>
              </w:rPr>
              <w:t xml:space="preserve"> </w:t>
            </w:r>
            <w:r w:rsidR="00C31460" w:rsidRPr="00376B51">
              <w:rPr>
                <w:sz w:val="22"/>
              </w:rPr>
              <w:t xml:space="preserve"> </w:t>
            </w:r>
            <w:r w:rsidR="008744BA" w:rsidRPr="00376B51">
              <w:rPr>
                <w:sz w:val="22"/>
              </w:rPr>
              <w:t xml:space="preserve">          </w:t>
            </w:r>
            <w:r w:rsidRPr="00376B51">
              <w:rPr>
                <w:sz w:val="22"/>
              </w:rPr>
              <w:t>—</w:t>
            </w:r>
          </w:p>
        </w:tc>
        <w:tc>
          <w:tcPr>
            <w:tcW w:w="698" w:type="pct"/>
            <w:tcBorders>
              <w:top w:val="nil"/>
              <w:left w:val="nil"/>
              <w:bottom w:val="nil"/>
              <w:right w:val="nil"/>
            </w:tcBorders>
            <w:vAlign w:val="bottom"/>
          </w:tcPr>
          <w:p w:rsidR="00FC728C" w:rsidRPr="00376B51" w:rsidRDefault="00FC728C" w:rsidP="00C3146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76B51">
              <w:rPr>
                <w:sz w:val="22"/>
              </w:rPr>
              <w:t>$</w:t>
            </w:r>
            <w:r w:rsidR="008744BA" w:rsidRPr="00376B51">
              <w:rPr>
                <w:sz w:val="22"/>
              </w:rPr>
              <w:t xml:space="preserve">        </w:t>
            </w:r>
            <w:r w:rsidR="00C31460" w:rsidRPr="00376B51">
              <w:rPr>
                <w:sz w:val="22"/>
              </w:rPr>
              <w:t xml:space="preserve"> </w:t>
            </w:r>
            <w:r w:rsidR="008744BA" w:rsidRPr="00376B51">
              <w:rPr>
                <w:sz w:val="22"/>
              </w:rPr>
              <w:t xml:space="preserve">      </w:t>
            </w:r>
            <w:r w:rsidRPr="00376B51">
              <w:rPr>
                <w:sz w:val="22"/>
              </w:rPr>
              <w:t>—</w:t>
            </w:r>
          </w:p>
        </w:tc>
      </w:tr>
      <w:tr w:rsidR="008744BA" w:rsidRPr="00376B51" w:rsidTr="0040010D">
        <w:trPr>
          <w:cantSplit/>
          <w:jc w:val="center"/>
        </w:trPr>
        <w:tc>
          <w:tcPr>
            <w:tcW w:w="2108" w:type="pct"/>
            <w:tcBorders>
              <w:top w:val="nil"/>
              <w:left w:val="nil"/>
              <w:bottom w:val="nil"/>
              <w:right w:val="nil"/>
            </w:tcBorders>
          </w:tcPr>
          <w:p w:rsidR="00FC728C" w:rsidRPr="00376B51" w:rsidRDefault="00FC728C" w:rsidP="00E77983">
            <w:pPr>
              <w:widowControl/>
              <w:suppressAutoHyphens/>
              <w:ind w:left="400" w:hanging="200"/>
              <w:rPr>
                <w:sz w:val="22"/>
              </w:rPr>
            </w:pPr>
            <w:r w:rsidRPr="00376B51">
              <w:rPr>
                <w:sz w:val="22"/>
              </w:rPr>
              <w:t>Derivative instruments</w:t>
            </w:r>
            <w:r w:rsidRPr="00376B51">
              <w:rPr>
                <w:sz w:val="22"/>
              </w:rPr>
              <w:tab/>
            </w:r>
          </w:p>
        </w:tc>
        <w:tc>
          <w:tcPr>
            <w:tcW w:w="707" w:type="pct"/>
            <w:tcBorders>
              <w:top w:val="nil"/>
              <w:left w:val="nil"/>
              <w:bottom w:val="nil"/>
              <w:right w:val="nil"/>
            </w:tcBorders>
            <w:vAlign w:val="bottom"/>
          </w:tcPr>
          <w:p w:rsidR="00FC728C" w:rsidRPr="00376B51" w:rsidRDefault="00376B51" w:rsidP="00376B5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76B51">
              <w:rPr>
                <w:sz w:val="22"/>
              </w:rPr>
              <w:t>3</w:t>
            </w:r>
            <w:r w:rsidR="00C1326A" w:rsidRPr="00376B51">
              <w:rPr>
                <w:sz w:val="22"/>
              </w:rPr>
              <w:t>,</w:t>
            </w:r>
            <w:r w:rsidRPr="00376B51">
              <w:rPr>
                <w:sz w:val="22"/>
              </w:rPr>
              <w:t>210</w:t>
            </w:r>
          </w:p>
        </w:tc>
        <w:tc>
          <w:tcPr>
            <w:tcW w:w="748" w:type="pct"/>
            <w:tcBorders>
              <w:top w:val="nil"/>
              <w:left w:val="nil"/>
              <w:bottom w:val="nil"/>
              <w:right w:val="nil"/>
            </w:tcBorders>
            <w:vAlign w:val="bottom"/>
          </w:tcPr>
          <w:p w:rsidR="00FC728C" w:rsidRPr="00376B51" w:rsidRDefault="00FC728C" w:rsidP="0094181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76B51">
              <w:rPr>
                <w:sz w:val="22"/>
              </w:rPr>
              <w:t>—</w:t>
            </w:r>
          </w:p>
        </w:tc>
        <w:tc>
          <w:tcPr>
            <w:tcW w:w="739" w:type="pct"/>
            <w:tcBorders>
              <w:top w:val="nil"/>
              <w:left w:val="nil"/>
              <w:bottom w:val="nil"/>
              <w:right w:val="nil"/>
            </w:tcBorders>
            <w:vAlign w:val="bottom"/>
          </w:tcPr>
          <w:p w:rsidR="00FC728C" w:rsidRPr="00376B51" w:rsidRDefault="00376B51" w:rsidP="00376B5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76B51">
              <w:rPr>
                <w:sz w:val="22"/>
              </w:rPr>
              <w:t>3</w:t>
            </w:r>
            <w:r w:rsidR="00C1326A" w:rsidRPr="00376B51">
              <w:rPr>
                <w:sz w:val="22"/>
              </w:rPr>
              <w:t>,</w:t>
            </w:r>
            <w:r w:rsidRPr="00376B51">
              <w:rPr>
                <w:sz w:val="22"/>
              </w:rPr>
              <w:t>210</w:t>
            </w:r>
          </w:p>
        </w:tc>
        <w:tc>
          <w:tcPr>
            <w:tcW w:w="698" w:type="pct"/>
            <w:tcBorders>
              <w:top w:val="nil"/>
              <w:left w:val="nil"/>
              <w:bottom w:val="nil"/>
              <w:right w:val="nil"/>
            </w:tcBorders>
            <w:vAlign w:val="bottom"/>
          </w:tcPr>
          <w:p w:rsidR="00FC728C" w:rsidRPr="00376B51" w:rsidRDefault="00FC728C" w:rsidP="0094181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76B51">
              <w:rPr>
                <w:sz w:val="22"/>
              </w:rPr>
              <w:t>—</w:t>
            </w:r>
          </w:p>
        </w:tc>
      </w:tr>
    </w:tbl>
    <w:p w:rsidR="008744BA" w:rsidRPr="0053635E" w:rsidRDefault="008744BA" w:rsidP="00744A72">
      <w:pPr>
        <w:rPr>
          <w:highlight w:val="yellow"/>
        </w:rPr>
      </w:pPr>
    </w:p>
    <w:p w:rsidR="008744BA" w:rsidRPr="0053635E" w:rsidRDefault="008744BA" w:rsidP="00744A72">
      <w:pPr>
        <w:rPr>
          <w:highlight w:val="yellow"/>
        </w:rPr>
      </w:pPr>
    </w:p>
    <w:tbl>
      <w:tblPr>
        <w:tblW w:w="4582" w:type="pct"/>
        <w:jc w:val="center"/>
        <w:tblCellMar>
          <w:left w:w="72" w:type="dxa"/>
          <w:right w:w="72" w:type="dxa"/>
        </w:tblCellMar>
        <w:tblLook w:val="0000" w:firstRow="0" w:lastRow="0" w:firstColumn="0" w:lastColumn="0" w:noHBand="0" w:noVBand="0"/>
      </w:tblPr>
      <w:tblGrid>
        <w:gridCol w:w="3800"/>
        <w:gridCol w:w="1469"/>
        <w:gridCol w:w="1403"/>
        <w:gridCol w:w="1387"/>
        <w:gridCol w:w="1310"/>
      </w:tblGrid>
      <w:tr w:rsidR="00E77983" w:rsidRPr="00597C55" w:rsidTr="00597C55">
        <w:trPr>
          <w:cantSplit/>
          <w:jc w:val="center"/>
        </w:trPr>
        <w:tc>
          <w:tcPr>
            <w:tcW w:w="2028" w:type="pct"/>
            <w:tcBorders>
              <w:top w:val="nil"/>
              <w:left w:val="nil"/>
              <w:bottom w:val="nil"/>
              <w:right w:val="nil"/>
            </w:tcBorders>
            <w:vAlign w:val="bottom"/>
          </w:tcPr>
          <w:p w:rsidR="00E77983" w:rsidRPr="00597C55" w:rsidRDefault="00E77983" w:rsidP="000C37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p>
        </w:tc>
        <w:tc>
          <w:tcPr>
            <w:tcW w:w="784" w:type="pct"/>
            <w:tcBorders>
              <w:top w:val="nil"/>
              <w:left w:val="nil"/>
              <w:bottom w:val="single" w:sz="4" w:space="0" w:color="auto"/>
              <w:right w:val="nil"/>
            </w:tcBorders>
            <w:vAlign w:val="bottom"/>
          </w:tcPr>
          <w:p w:rsidR="00E77983" w:rsidRPr="00597C55" w:rsidRDefault="00E77983" w:rsidP="00E77983">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Fair Value</w:t>
            </w:r>
            <w:r w:rsidR="00597C55">
              <w:rPr>
                <w:b/>
                <w:bCs/>
                <w:sz w:val="22"/>
              </w:rPr>
              <w:t xml:space="preserve">  </w:t>
            </w:r>
            <w:r w:rsidRPr="00597C55">
              <w:rPr>
                <w:b/>
                <w:bCs/>
                <w:sz w:val="22"/>
              </w:rPr>
              <w:t xml:space="preserve"> as of      December 31</w:t>
            </w:r>
            <w:r w:rsidR="00402089" w:rsidRPr="00597C55">
              <w:rPr>
                <w:b/>
                <w:bCs/>
                <w:sz w:val="22"/>
              </w:rPr>
              <w:t>,</w:t>
            </w:r>
          </w:p>
        </w:tc>
        <w:tc>
          <w:tcPr>
            <w:tcW w:w="2187" w:type="pct"/>
            <w:gridSpan w:val="3"/>
            <w:tcBorders>
              <w:top w:val="nil"/>
              <w:left w:val="nil"/>
              <w:bottom w:val="nil"/>
              <w:right w:val="nil"/>
            </w:tcBorders>
            <w:vAlign w:val="bottom"/>
          </w:tcPr>
          <w:p w:rsidR="00E77983" w:rsidRPr="00597C55" w:rsidRDefault="00E77983" w:rsidP="00597C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Fair Value Measurement as of</w:t>
            </w:r>
            <w:r w:rsidRPr="00597C55">
              <w:rPr>
                <w:b/>
                <w:bCs/>
                <w:sz w:val="22"/>
              </w:rPr>
              <w:br/>
              <w:t>December 31, 201</w:t>
            </w:r>
            <w:r w:rsidR="00597C55" w:rsidRPr="00597C55">
              <w:rPr>
                <w:b/>
                <w:bCs/>
                <w:sz w:val="22"/>
              </w:rPr>
              <w:t>3</w:t>
            </w:r>
            <w:r w:rsidRPr="00597C55">
              <w:rPr>
                <w:b/>
                <w:bCs/>
                <w:sz w:val="22"/>
              </w:rPr>
              <w:t xml:space="preserve"> using</w:t>
            </w:r>
            <w:r w:rsidRPr="00597C55">
              <w:rPr>
                <w:b/>
                <w:bCs/>
                <w:sz w:val="22"/>
              </w:rPr>
              <w:br/>
              <w:t>Fair Value Hierarchy</w:t>
            </w:r>
          </w:p>
        </w:tc>
      </w:tr>
      <w:tr w:rsidR="00E77983" w:rsidRPr="00597C55" w:rsidTr="00597C55">
        <w:trPr>
          <w:cantSplit/>
          <w:jc w:val="center"/>
        </w:trPr>
        <w:tc>
          <w:tcPr>
            <w:tcW w:w="2028" w:type="pct"/>
            <w:tcBorders>
              <w:top w:val="nil"/>
              <w:left w:val="nil"/>
              <w:bottom w:val="nil"/>
              <w:right w:val="nil"/>
            </w:tcBorders>
            <w:vAlign w:val="bottom"/>
          </w:tcPr>
          <w:p w:rsidR="00E77983" w:rsidRPr="00597C55" w:rsidRDefault="00E77983" w:rsidP="000C376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p>
        </w:tc>
        <w:tc>
          <w:tcPr>
            <w:tcW w:w="784" w:type="pct"/>
            <w:tcBorders>
              <w:top w:val="single" w:sz="4" w:space="0" w:color="auto"/>
              <w:left w:val="nil"/>
              <w:bottom w:val="nil"/>
              <w:right w:val="nil"/>
            </w:tcBorders>
            <w:vAlign w:val="bottom"/>
          </w:tcPr>
          <w:p w:rsidR="00E77983" w:rsidRPr="00597C55" w:rsidRDefault="00E77983" w:rsidP="00597C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201</w:t>
            </w:r>
            <w:r w:rsidR="00597C55" w:rsidRPr="00597C55">
              <w:rPr>
                <w:b/>
                <w:bCs/>
                <w:sz w:val="22"/>
              </w:rPr>
              <w:t>3</w:t>
            </w:r>
          </w:p>
        </w:tc>
        <w:tc>
          <w:tcPr>
            <w:tcW w:w="749" w:type="pct"/>
            <w:tcBorders>
              <w:top w:val="nil"/>
              <w:left w:val="nil"/>
              <w:bottom w:val="nil"/>
              <w:right w:val="nil"/>
            </w:tcBorders>
            <w:vAlign w:val="bottom"/>
          </w:tcPr>
          <w:p w:rsidR="00E77983" w:rsidRPr="00597C55" w:rsidRDefault="00E77983" w:rsidP="000C376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Level 1</w:t>
            </w:r>
          </w:p>
        </w:tc>
        <w:tc>
          <w:tcPr>
            <w:tcW w:w="740" w:type="pct"/>
            <w:tcBorders>
              <w:top w:val="nil"/>
              <w:left w:val="nil"/>
              <w:bottom w:val="nil"/>
              <w:right w:val="nil"/>
            </w:tcBorders>
            <w:vAlign w:val="bottom"/>
          </w:tcPr>
          <w:p w:rsidR="00E77983" w:rsidRPr="00597C55" w:rsidRDefault="00E77983" w:rsidP="000C376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Level 2</w:t>
            </w:r>
          </w:p>
        </w:tc>
        <w:tc>
          <w:tcPr>
            <w:tcW w:w="699" w:type="pct"/>
            <w:tcBorders>
              <w:top w:val="nil"/>
              <w:left w:val="nil"/>
              <w:bottom w:val="nil"/>
              <w:right w:val="nil"/>
            </w:tcBorders>
            <w:vAlign w:val="bottom"/>
          </w:tcPr>
          <w:p w:rsidR="00E77983" w:rsidRPr="00597C55" w:rsidRDefault="00E77983" w:rsidP="000C376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597C55">
              <w:rPr>
                <w:b/>
                <w:bCs/>
                <w:sz w:val="22"/>
              </w:rPr>
              <w:t>Level 3</w:t>
            </w:r>
          </w:p>
        </w:tc>
      </w:tr>
      <w:tr w:rsidR="00E77983" w:rsidRPr="00597C55" w:rsidTr="00597C55">
        <w:trPr>
          <w:cantSplit/>
          <w:jc w:val="center"/>
        </w:trPr>
        <w:tc>
          <w:tcPr>
            <w:tcW w:w="2028" w:type="pct"/>
            <w:tcBorders>
              <w:top w:val="nil"/>
              <w:left w:val="nil"/>
              <w:bottom w:val="nil"/>
              <w:right w:val="nil"/>
            </w:tcBorders>
          </w:tcPr>
          <w:p w:rsidR="00E77983" w:rsidRPr="00597C55" w:rsidRDefault="00E77983" w:rsidP="000C376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 w:val="22"/>
              </w:rPr>
            </w:pPr>
            <w:r w:rsidRPr="00597C55">
              <w:rPr>
                <w:sz w:val="22"/>
              </w:rPr>
              <w:t>Assets:</w:t>
            </w:r>
          </w:p>
        </w:tc>
        <w:tc>
          <w:tcPr>
            <w:tcW w:w="784" w:type="pct"/>
            <w:tcBorders>
              <w:top w:val="nil"/>
              <w:left w:val="nil"/>
              <w:bottom w:val="nil"/>
              <w:right w:val="nil"/>
            </w:tcBorders>
            <w:vAlign w:val="bottom"/>
          </w:tcPr>
          <w:p w:rsidR="00E77983" w:rsidRPr="00597C55" w:rsidRDefault="00E77983" w:rsidP="000C37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749" w:type="pct"/>
            <w:tcBorders>
              <w:top w:val="nil"/>
              <w:left w:val="nil"/>
              <w:bottom w:val="nil"/>
              <w:right w:val="nil"/>
            </w:tcBorders>
            <w:vAlign w:val="bottom"/>
          </w:tcPr>
          <w:p w:rsidR="00E77983" w:rsidRPr="00597C55" w:rsidRDefault="00E77983" w:rsidP="000C37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740" w:type="pct"/>
            <w:tcBorders>
              <w:top w:val="nil"/>
              <w:left w:val="nil"/>
              <w:bottom w:val="nil"/>
              <w:right w:val="nil"/>
            </w:tcBorders>
            <w:vAlign w:val="bottom"/>
          </w:tcPr>
          <w:p w:rsidR="00E77983" w:rsidRPr="00597C55" w:rsidRDefault="00E77983" w:rsidP="000C37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699" w:type="pct"/>
            <w:tcBorders>
              <w:top w:val="nil"/>
              <w:left w:val="nil"/>
              <w:bottom w:val="nil"/>
              <w:right w:val="nil"/>
            </w:tcBorders>
            <w:vAlign w:val="bottom"/>
          </w:tcPr>
          <w:p w:rsidR="00E77983" w:rsidRPr="00597C55" w:rsidRDefault="00E77983" w:rsidP="000C37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r w:rsidR="00E77983" w:rsidRPr="00597C55" w:rsidTr="00597C55">
        <w:trPr>
          <w:cantSplit/>
          <w:jc w:val="center"/>
        </w:trPr>
        <w:tc>
          <w:tcPr>
            <w:tcW w:w="2028" w:type="pct"/>
            <w:tcBorders>
              <w:top w:val="nil"/>
              <w:left w:val="nil"/>
              <w:bottom w:val="nil"/>
              <w:right w:val="nil"/>
            </w:tcBorders>
          </w:tcPr>
          <w:p w:rsidR="00E77983" w:rsidRPr="00597C55" w:rsidRDefault="00E77983" w:rsidP="000C3762">
            <w:pPr>
              <w:widowControl/>
              <w:suppressAutoHyphens/>
              <w:ind w:left="400" w:hanging="200"/>
              <w:rPr>
                <w:sz w:val="22"/>
              </w:rPr>
            </w:pPr>
            <w:r w:rsidRPr="00597C55">
              <w:rPr>
                <w:sz w:val="22"/>
              </w:rPr>
              <w:t>Cash and cash equivalents</w:t>
            </w:r>
            <w:r w:rsidRPr="00597C55">
              <w:rPr>
                <w:sz w:val="22"/>
              </w:rPr>
              <w:tab/>
            </w:r>
          </w:p>
        </w:tc>
        <w:tc>
          <w:tcPr>
            <w:tcW w:w="784" w:type="pct"/>
            <w:tcBorders>
              <w:top w:val="nil"/>
              <w:left w:val="nil"/>
              <w:bottom w:val="nil"/>
              <w:right w:val="nil"/>
            </w:tcBorders>
            <w:vAlign w:val="bottom"/>
          </w:tcPr>
          <w:p w:rsidR="00E77983" w:rsidRPr="00597C55" w:rsidRDefault="00E77983" w:rsidP="00597C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97C55">
              <w:rPr>
                <w:sz w:val="22"/>
              </w:rPr>
              <w:t xml:space="preserve">$  </w:t>
            </w:r>
            <w:r w:rsidR="00C31460" w:rsidRPr="00597C55">
              <w:rPr>
                <w:sz w:val="22"/>
              </w:rPr>
              <w:t xml:space="preserve"> </w:t>
            </w:r>
            <w:r w:rsidR="00DA1D73" w:rsidRPr="00597C55">
              <w:rPr>
                <w:sz w:val="22"/>
              </w:rPr>
              <w:t xml:space="preserve"> </w:t>
            </w:r>
            <w:r w:rsidRPr="00597C55">
              <w:rPr>
                <w:sz w:val="22"/>
              </w:rPr>
              <w:t xml:space="preserve">     </w:t>
            </w:r>
            <w:r w:rsidR="00597C55">
              <w:rPr>
                <w:sz w:val="22"/>
              </w:rPr>
              <w:t>11</w:t>
            </w:r>
            <w:r w:rsidRPr="00597C55">
              <w:rPr>
                <w:sz w:val="22"/>
              </w:rPr>
              <w:t>,</w:t>
            </w:r>
            <w:r w:rsidR="00597C55">
              <w:rPr>
                <w:sz w:val="22"/>
              </w:rPr>
              <w:t>843</w:t>
            </w:r>
          </w:p>
        </w:tc>
        <w:tc>
          <w:tcPr>
            <w:tcW w:w="749" w:type="pct"/>
            <w:tcBorders>
              <w:top w:val="nil"/>
              <w:left w:val="nil"/>
              <w:bottom w:val="nil"/>
              <w:right w:val="nil"/>
            </w:tcBorders>
            <w:vAlign w:val="bottom"/>
          </w:tcPr>
          <w:p w:rsidR="00E77983" w:rsidRPr="00597C55" w:rsidRDefault="00E77983" w:rsidP="00597C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97C55">
              <w:rPr>
                <w:sz w:val="22"/>
              </w:rPr>
              <w:t xml:space="preserve">$    </w:t>
            </w:r>
            <w:r w:rsidR="00C31460" w:rsidRPr="00597C55">
              <w:rPr>
                <w:sz w:val="22"/>
              </w:rPr>
              <w:t xml:space="preserve"> </w:t>
            </w:r>
            <w:r w:rsidRPr="00597C55">
              <w:rPr>
                <w:sz w:val="22"/>
              </w:rPr>
              <w:t xml:space="preserve">    </w:t>
            </w:r>
            <w:r w:rsidR="00597C55">
              <w:rPr>
                <w:sz w:val="22"/>
              </w:rPr>
              <w:t>11</w:t>
            </w:r>
            <w:r w:rsidRPr="00597C55">
              <w:rPr>
                <w:sz w:val="22"/>
              </w:rPr>
              <w:t>,</w:t>
            </w:r>
            <w:r w:rsidR="00597C55">
              <w:rPr>
                <w:sz w:val="22"/>
              </w:rPr>
              <w:t>843</w:t>
            </w:r>
          </w:p>
        </w:tc>
        <w:tc>
          <w:tcPr>
            <w:tcW w:w="740" w:type="pct"/>
            <w:tcBorders>
              <w:top w:val="nil"/>
              <w:left w:val="nil"/>
              <w:bottom w:val="nil"/>
              <w:right w:val="nil"/>
            </w:tcBorders>
            <w:vAlign w:val="bottom"/>
          </w:tcPr>
          <w:p w:rsidR="00E77983" w:rsidRPr="00597C55" w:rsidRDefault="00E77983" w:rsidP="00C3146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97C55">
              <w:rPr>
                <w:sz w:val="22"/>
              </w:rPr>
              <w:t xml:space="preserve">$     </w:t>
            </w:r>
            <w:r w:rsidR="00C31460" w:rsidRPr="00597C55">
              <w:rPr>
                <w:sz w:val="22"/>
              </w:rPr>
              <w:t xml:space="preserve"> </w:t>
            </w:r>
            <w:r w:rsidRPr="00597C55">
              <w:rPr>
                <w:sz w:val="22"/>
              </w:rPr>
              <w:t xml:space="preserve">          —</w:t>
            </w:r>
          </w:p>
        </w:tc>
        <w:tc>
          <w:tcPr>
            <w:tcW w:w="699" w:type="pct"/>
            <w:tcBorders>
              <w:top w:val="nil"/>
              <w:left w:val="nil"/>
              <w:bottom w:val="nil"/>
              <w:right w:val="nil"/>
            </w:tcBorders>
            <w:vAlign w:val="bottom"/>
          </w:tcPr>
          <w:p w:rsidR="00E77983" w:rsidRPr="00597C55" w:rsidRDefault="00E77983" w:rsidP="00C3146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97C55">
              <w:rPr>
                <w:sz w:val="22"/>
              </w:rPr>
              <w:t xml:space="preserve">$       </w:t>
            </w:r>
            <w:r w:rsidR="00C31460" w:rsidRPr="00597C55">
              <w:rPr>
                <w:sz w:val="22"/>
              </w:rPr>
              <w:t xml:space="preserve"> </w:t>
            </w:r>
            <w:r w:rsidRPr="00597C55">
              <w:rPr>
                <w:sz w:val="22"/>
              </w:rPr>
              <w:t xml:space="preserve">       —</w:t>
            </w:r>
          </w:p>
        </w:tc>
      </w:tr>
      <w:tr w:rsidR="00E77983" w:rsidRPr="00597C55" w:rsidTr="00597C55">
        <w:trPr>
          <w:cantSplit/>
          <w:jc w:val="center"/>
        </w:trPr>
        <w:tc>
          <w:tcPr>
            <w:tcW w:w="2028" w:type="pct"/>
            <w:tcBorders>
              <w:top w:val="nil"/>
              <w:left w:val="nil"/>
              <w:bottom w:val="nil"/>
              <w:right w:val="nil"/>
            </w:tcBorders>
          </w:tcPr>
          <w:p w:rsidR="00E77983" w:rsidRPr="00597C55" w:rsidRDefault="00597C55" w:rsidP="00E77983">
            <w:pPr>
              <w:widowControl/>
              <w:suppressAutoHyphens/>
              <w:ind w:left="400" w:hanging="200"/>
              <w:rPr>
                <w:sz w:val="22"/>
              </w:rPr>
            </w:pPr>
            <w:r>
              <w:rPr>
                <w:sz w:val="22"/>
              </w:rPr>
              <w:t xml:space="preserve">Derivative instruments </w:t>
            </w:r>
            <w:r w:rsidR="00E77983" w:rsidRPr="00597C55">
              <w:rPr>
                <w:sz w:val="22"/>
              </w:rPr>
              <w:tab/>
            </w:r>
          </w:p>
        </w:tc>
        <w:tc>
          <w:tcPr>
            <w:tcW w:w="784" w:type="pct"/>
            <w:tcBorders>
              <w:top w:val="nil"/>
              <w:left w:val="nil"/>
              <w:bottom w:val="nil"/>
              <w:right w:val="nil"/>
            </w:tcBorders>
            <w:vAlign w:val="bottom"/>
          </w:tcPr>
          <w:p w:rsidR="00E77983" w:rsidRPr="00597C55" w:rsidRDefault="00597C55" w:rsidP="00597C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3,414</w:t>
            </w:r>
          </w:p>
        </w:tc>
        <w:tc>
          <w:tcPr>
            <w:tcW w:w="749" w:type="pct"/>
            <w:tcBorders>
              <w:top w:val="nil"/>
              <w:left w:val="nil"/>
              <w:bottom w:val="nil"/>
              <w:right w:val="nil"/>
            </w:tcBorders>
            <w:vAlign w:val="bottom"/>
          </w:tcPr>
          <w:p w:rsidR="00E77983" w:rsidRPr="00597C55" w:rsidRDefault="00E77983" w:rsidP="000C37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97C55">
              <w:rPr>
                <w:sz w:val="22"/>
              </w:rPr>
              <w:t>—</w:t>
            </w:r>
          </w:p>
        </w:tc>
        <w:tc>
          <w:tcPr>
            <w:tcW w:w="740" w:type="pct"/>
            <w:tcBorders>
              <w:top w:val="nil"/>
              <w:left w:val="nil"/>
              <w:bottom w:val="nil"/>
              <w:right w:val="nil"/>
            </w:tcBorders>
            <w:vAlign w:val="bottom"/>
          </w:tcPr>
          <w:p w:rsidR="00E77983" w:rsidRPr="00597C55" w:rsidRDefault="00597C55" w:rsidP="00597C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Pr>
                <w:sz w:val="22"/>
              </w:rPr>
              <w:t>3,414</w:t>
            </w:r>
          </w:p>
        </w:tc>
        <w:tc>
          <w:tcPr>
            <w:tcW w:w="699" w:type="pct"/>
            <w:tcBorders>
              <w:top w:val="nil"/>
              <w:left w:val="nil"/>
              <w:bottom w:val="nil"/>
              <w:right w:val="nil"/>
            </w:tcBorders>
            <w:vAlign w:val="bottom"/>
          </w:tcPr>
          <w:p w:rsidR="00E77983" w:rsidRPr="00597C55" w:rsidRDefault="00E77983" w:rsidP="000C376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597C55">
              <w:rPr>
                <w:sz w:val="22"/>
              </w:rPr>
              <w:t>—</w:t>
            </w:r>
          </w:p>
        </w:tc>
      </w:tr>
    </w:tbl>
    <w:p w:rsidR="008744BA" w:rsidRPr="00597C55" w:rsidRDefault="008744BA" w:rsidP="00744A72"/>
    <w:p w:rsidR="00967665" w:rsidRDefault="00967665" w:rsidP="00967665">
      <w:pPr>
        <w:widowControl/>
        <w:tabs>
          <w:tab w:val="left" w:pos="-720"/>
        </w:tabs>
        <w:suppressAutoHyphens/>
        <w:spacing w:after="240"/>
        <w:jc w:val="both"/>
        <w:rPr>
          <w:i/>
          <w:iCs/>
          <w:sz w:val="22"/>
        </w:rPr>
      </w:pPr>
    </w:p>
    <w:p w:rsidR="004614A8" w:rsidRPr="00967665" w:rsidRDefault="004614A8" w:rsidP="004614A8">
      <w:pPr>
        <w:keepNext/>
        <w:keepLines/>
        <w:widowControl/>
        <w:tabs>
          <w:tab w:val="left" w:pos="-720"/>
          <w:tab w:val="left" w:pos="720"/>
          <w:tab w:val="left" w:pos="1440"/>
        </w:tabs>
        <w:suppressAutoHyphens/>
        <w:spacing w:after="240"/>
        <w:jc w:val="both"/>
        <w:rPr>
          <w:b/>
          <w:bCs/>
          <w:sz w:val="22"/>
        </w:rPr>
      </w:pPr>
      <w:r w:rsidRPr="00B60616">
        <w:rPr>
          <w:b/>
          <w:bCs/>
          <w:sz w:val="22"/>
        </w:rPr>
        <w:lastRenderedPageBreak/>
        <w:t>1</w:t>
      </w:r>
      <w:r>
        <w:rPr>
          <w:b/>
          <w:bCs/>
          <w:sz w:val="22"/>
        </w:rPr>
        <w:t>3</w:t>
      </w:r>
      <w:r w:rsidRPr="00B60616">
        <w:rPr>
          <w:b/>
          <w:bCs/>
          <w:sz w:val="22"/>
        </w:rPr>
        <w:t>. Fair Value of Financial Instruments (continued)</w:t>
      </w:r>
    </w:p>
    <w:p w:rsidR="00B835F7" w:rsidRPr="00C96E98" w:rsidRDefault="00CA14BE" w:rsidP="00597C55">
      <w:pPr>
        <w:widowControl/>
        <w:tabs>
          <w:tab w:val="left" w:pos="-720"/>
        </w:tabs>
        <w:suppressAutoHyphens/>
        <w:spacing w:after="240"/>
        <w:ind w:firstLine="720"/>
        <w:jc w:val="both"/>
        <w:rPr>
          <w:sz w:val="22"/>
        </w:rPr>
      </w:pPr>
      <w:r w:rsidRPr="00C96E98">
        <w:rPr>
          <w:i/>
          <w:iCs/>
          <w:sz w:val="22"/>
        </w:rPr>
        <w:t>Cash and cash equivalents:</w:t>
      </w:r>
      <w:r w:rsidRPr="00C96E98">
        <w:rPr>
          <w:sz w:val="22"/>
        </w:rPr>
        <w:t xml:space="preserve">  Cash and cash equivalents include all cash balances and highly liquid investments having original maturities of three months or less at the time of purchase. These instruments are stated at cost, which approximates market value because of the short</w:t>
      </w:r>
      <w:r w:rsidR="00744A72" w:rsidRPr="00C96E98">
        <w:rPr>
          <w:sz w:val="22"/>
        </w:rPr>
        <w:t>-</w:t>
      </w:r>
      <w:r w:rsidRPr="00C96E98">
        <w:rPr>
          <w:sz w:val="22"/>
        </w:rPr>
        <w:t>term nature of the instruments.</w:t>
      </w:r>
    </w:p>
    <w:p w:rsidR="00597C55" w:rsidRPr="00C96E98" w:rsidRDefault="00CA14BE" w:rsidP="00F65BAC">
      <w:pPr>
        <w:widowControl/>
        <w:tabs>
          <w:tab w:val="left" w:pos="-720"/>
        </w:tabs>
        <w:suppressAutoHyphens/>
        <w:spacing w:after="240"/>
        <w:ind w:firstLine="720"/>
        <w:jc w:val="both"/>
        <w:rPr>
          <w:b/>
          <w:bCs/>
          <w:sz w:val="22"/>
        </w:rPr>
      </w:pPr>
      <w:r w:rsidRPr="00C96E98">
        <w:rPr>
          <w:i/>
          <w:iCs/>
          <w:sz w:val="22"/>
        </w:rPr>
        <w:t>Derivative instruments:</w:t>
      </w:r>
      <w:r w:rsidRPr="00C96E98">
        <w:rPr>
          <w:sz w:val="22"/>
        </w:rPr>
        <w:t xml:space="preserve">  The Company</w:t>
      </w:r>
      <w:r w:rsidR="00744A72" w:rsidRPr="00C96E98">
        <w:rPr>
          <w:sz w:val="22"/>
        </w:rPr>
        <w:t>’</w:t>
      </w:r>
      <w:r w:rsidRPr="00C96E98">
        <w:rPr>
          <w:sz w:val="22"/>
        </w:rPr>
        <w:t>s interest rate derivatives were recorded at fair value on the Company</w:t>
      </w:r>
      <w:r w:rsidR="00744A72" w:rsidRPr="00C96E98">
        <w:rPr>
          <w:sz w:val="22"/>
        </w:rPr>
        <w:t>’</w:t>
      </w:r>
      <w:r w:rsidRPr="00C96E98">
        <w:rPr>
          <w:sz w:val="22"/>
        </w:rPr>
        <w:t>s Consolidated Balance Sheets and consist of United States dollar denominated LIBOR</w:t>
      </w:r>
      <w:r w:rsidRPr="00C96E98">
        <w:rPr>
          <w:sz w:val="22"/>
        </w:rPr>
        <w:noBreakHyphen/>
        <w:t>based interest rate swaps. Their fair values were determined using cash flows discounted at relevant market interest rates in effect at the period close. The fair value generally reflected the estimated amounts that the Company would receive or pay to transfer the contracts at the reporting date and therefore reflected the Company</w:t>
      </w:r>
      <w:r w:rsidR="00744A72" w:rsidRPr="00C96E98">
        <w:rPr>
          <w:sz w:val="22"/>
        </w:rPr>
        <w:t>’</w:t>
      </w:r>
      <w:r w:rsidRPr="00C96E98">
        <w:rPr>
          <w:sz w:val="22"/>
        </w:rPr>
        <w:t>s or counterparty</w:t>
      </w:r>
      <w:r w:rsidR="00744A72" w:rsidRPr="00C96E98">
        <w:rPr>
          <w:sz w:val="22"/>
        </w:rPr>
        <w:t>’</w:t>
      </w:r>
      <w:r w:rsidRPr="00C96E98">
        <w:rPr>
          <w:sz w:val="22"/>
        </w:rPr>
        <w:t>s non</w:t>
      </w:r>
      <w:r w:rsidR="00744A72" w:rsidRPr="00C96E98">
        <w:rPr>
          <w:sz w:val="22"/>
        </w:rPr>
        <w:t>-</w:t>
      </w:r>
      <w:r w:rsidRPr="00C96E98">
        <w:rPr>
          <w:sz w:val="22"/>
        </w:rPr>
        <w:t xml:space="preserve">performance risk. Additionally, the Company has analyzed each of the redemption features included in the notes to determine whether any of these embedded features should be bifurcated in accordance with the </w:t>
      </w:r>
      <w:r w:rsidRPr="00C96E98">
        <w:rPr>
          <w:i/>
          <w:iCs/>
          <w:sz w:val="22"/>
        </w:rPr>
        <w:t>Derivatives and Hedging</w:t>
      </w:r>
      <w:r w:rsidRPr="00C96E98">
        <w:rPr>
          <w:sz w:val="22"/>
        </w:rPr>
        <w:t xml:space="preserve"> Topic of the FASB ASC (ASC 815). The Company has concluded that the redemption feature which offers optional redemption by the Company of up to 35% of the aggregate principal amount of the notes at a redemption price of 111% of the aggregate principal amount of the notes using the cash proceeds of an equity offering qualifies as a feature that should be bifurcated under ASC 815. </w:t>
      </w:r>
    </w:p>
    <w:p w:rsidR="00744A72" w:rsidRPr="00C96E98" w:rsidRDefault="00C01A16" w:rsidP="00D726F1">
      <w:pPr>
        <w:widowControl/>
        <w:tabs>
          <w:tab w:val="left" w:pos="-720"/>
        </w:tabs>
        <w:suppressAutoHyphens/>
        <w:spacing w:after="240"/>
        <w:jc w:val="both"/>
        <w:rPr>
          <w:sz w:val="22"/>
        </w:rPr>
      </w:pPr>
      <w:r w:rsidRPr="00C96E98">
        <w:rPr>
          <w:sz w:val="22"/>
        </w:rPr>
        <w:tab/>
      </w:r>
      <w:r w:rsidR="00CA14BE" w:rsidRPr="00C96E98">
        <w:rPr>
          <w:sz w:val="22"/>
        </w:rPr>
        <w:t>The Company has determined that the resulting measurement of the fair value of this</w:t>
      </w:r>
      <w:r w:rsidR="001B3AA4" w:rsidRPr="00C96E98">
        <w:rPr>
          <w:sz w:val="22"/>
        </w:rPr>
        <w:t xml:space="preserve"> embedded</w:t>
      </w:r>
      <w:r w:rsidR="00CA14BE" w:rsidRPr="00C96E98">
        <w:rPr>
          <w:sz w:val="22"/>
        </w:rPr>
        <w:t xml:space="preserve"> derivative is immaterial to the consolidated financial statements, and will </w:t>
      </w:r>
      <w:r w:rsidR="001B3AA4" w:rsidRPr="00C96E98">
        <w:rPr>
          <w:sz w:val="22"/>
        </w:rPr>
        <w:t xml:space="preserve">continue to </w:t>
      </w:r>
      <w:r w:rsidR="00CA14BE" w:rsidRPr="00C96E98">
        <w:rPr>
          <w:sz w:val="22"/>
        </w:rPr>
        <w:t xml:space="preserve">reassess the fair value of this derivative </w:t>
      </w:r>
      <w:r w:rsidR="00206BD4" w:rsidRPr="00C96E98">
        <w:rPr>
          <w:sz w:val="22"/>
        </w:rPr>
        <w:t xml:space="preserve">prospectively </w:t>
      </w:r>
      <w:r w:rsidR="00CA14BE" w:rsidRPr="00C96E98">
        <w:rPr>
          <w:sz w:val="22"/>
        </w:rPr>
        <w:t>with any changes recorded in earnings.</w:t>
      </w:r>
    </w:p>
    <w:p w:rsidR="00CA14BE" w:rsidRPr="00B60616" w:rsidRDefault="00CA14BE" w:rsidP="00EE2E7E">
      <w:pPr>
        <w:widowControl/>
        <w:tabs>
          <w:tab w:val="left" w:pos="-720"/>
        </w:tabs>
        <w:suppressAutoHyphens/>
        <w:spacing w:after="240"/>
        <w:ind w:firstLine="720"/>
        <w:jc w:val="both"/>
        <w:rPr>
          <w:sz w:val="22"/>
        </w:rPr>
      </w:pPr>
      <w:r w:rsidRPr="00B60616">
        <w:rPr>
          <w:sz w:val="22"/>
        </w:rPr>
        <w:t>Leasing equipment that is deemed to be impaired is measured at fair value on a non</w:t>
      </w:r>
      <w:r w:rsidR="00744A72" w:rsidRPr="00B60616">
        <w:rPr>
          <w:sz w:val="22"/>
        </w:rPr>
        <w:t>-</w:t>
      </w:r>
      <w:r w:rsidRPr="00B60616">
        <w:rPr>
          <w:sz w:val="22"/>
        </w:rPr>
        <w:t xml:space="preserve">recurring basis. The fair value is calculated using the income approach based on inputs classified as </w:t>
      </w:r>
      <w:r w:rsidR="00F36C69" w:rsidRPr="00B60616">
        <w:rPr>
          <w:sz w:val="22"/>
        </w:rPr>
        <w:t>L</w:t>
      </w:r>
      <w:r w:rsidRPr="00B60616">
        <w:rPr>
          <w:sz w:val="22"/>
        </w:rPr>
        <w:t>evel 2 in the fair value hierarchy.</w:t>
      </w:r>
    </w:p>
    <w:p w:rsidR="001216BD" w:rsidRPr="00B60616" w:rsidRDefault="00CA14BE" w:rsidP="00D726F1">
      <w:pPr>
        <w:widowControl/>
        <w:tabs>
          <w:tab w:val="left" w:pos="-720"/>
        </w:tabs>
        <w:suppressAutoHyphens/>
        <w:spacing w:after="240"/>
        <w:ind w:firstLine="720"/>
        <w:jc w:val="both"/>
        <w:rPr>
          <w:sz w:val="22"/>
        </w:rPr>
      </w:pPr>
      <w:r w:rsidRPr="00B60616">
        <w:rPr>
          <w:sz w:val="22"/>
        </w:rPr>
        <w:t>The Company believes the carrying amounts of cash and cash equivalents, accounts receivable, accounts payable and accrued expenses and other liabilities approximates the fair value of these financial instruments because of their short</w:t>
      </w:r>
      <w:r w:rsidR="00744A72" w:rsidRPr="00B60616">
        <w:rPr>
          <w:sz w:val="22"/>
        </w:rPr>
        <w:t>-</w:t>
      </w:r>
      <w:r w:rsidRPr="00B60616">
        <w:rPr>
          <w:sz w:val="22"/>
        </w:rPr>
        <w:t>term nature.</w:t>
      </w:r>
    </w:p>
    <w:p w:rsidR="00967665" w:rsidRDefault="00CA14BE" w:rsidP="00967665">
      <w:pPr>
        <w:widowControl/>
        <w:tabs>
          <w:tab w:val="left" w:pos="-720"/>
        </w:tabs>
        <w:suppressAutoHyphens/>
        <w:spacing w:after="240"/>
        <w:ind w:firstLine="720"/>
        <w:jc w:val="both"/>
        <w:rPr>
          <w:sz w:val="22"/>
        </w:rPr>
      </w:pPr>
      <w:r w:rsidRPr="00B60616">
        <w:rPr>
          <w:i/>
          <w:iCs/>
          <w:sz w:val="22"/>
        </w:rPr>
        <w:t>Debt:</w:t>
      </w:r>
      <w:r w:rsidRPr="00B60616">
        <w:rPr>
          <w:sz w:val="22"/>
        </w:rPr>
        <w:t xml:space="preserve">  The Company</w:t>
      </w:r>
      <w:r w:rsidR="00744A72" w:rsidRPr="00B60616">
        <w:rPr>
          <w:sz w:val="22"/>
        </w:rPr>
        <w:t>’</w:t>
      </w:r>
      <w:r w:rsidRPr="00B60616">
        <w:rPr>
          <w:sz w:val="22"/>
        </w:rPr>
        <w:t xml:space="preserve">s debt consists of fixed and floating rate instruments. Variable interest rate debt </w:t>
      </w:r>
      <w:r w:rsidR="00AD18D4" w:rsidRPr="00B60616">
        <w:rPr>
          <w:sz w:val="22"/>
        </w:rPr>
        <w:t>was</w:t>
      </w:r>
      <w:r w:rsidRPr="00B60616">
        <w:rPr>
          <w:sz w:val="22"/>
        </w:rPr>
        <w:t xml:space="preserve"> </w:t>
      </w:r>
      <w:r w:rsidRPr="00092B9E">
        <w:rPr>
          <w:sz w:val="22"/>
        </w:rPr>
        <w:t>$</w:t>
      </w:r>
      <w:r w:rsidR="001D6C01" w:rsidRPr="00092B9E">
        <w:rPr>
          <w:sz w:val="22"/>
        </w:rPr>
        <w:t>4</w:t>
      </w:r>
      <w:r w:rsidR="00092B9E" w:rsidRPr="00092B9E">
        <w:rPr>
          <w:sz w:val="22"/>
        </w:rPr>
        <w:t>29</w:t>
      </w:r>
      <w:r w:rsidR="00DF3C66" w:rsidRPr="00092B9E">
        <w:rPr>
          <w:sz w:val="22"/>
        </w:rPr>
        <w:t>,</w:t>
      </w:r>
      <w:r w:rsidR="00092B9E" w:rsidRPr="00092B9E">
        <w:rPr>
          <w:sz w:val="22"/>
        </w:rPr>
        <w:t>465</w:t>
      </w:r>
      <w:r w:rsidRPr="00092B9E">
        <w:rPr>
          <w:sz w:val="22"/>
        </w:rPr>
        <w:t xml:space="preserve"> as of </w:t>
      </w:r>
      <w:r w:rsidR="00B60616" w:rsidRPr="00092B9E">
        <w:rPr>
          <w:sz w:val="22"/>
        </w:rPr>
        <w:t>March</w:t>
      </w:r>
      <w:r w:rsidRPr="00B60616">
        <w:rPr>
          <w:sz w:val="22"/>
        </w:rPr>
        <w:t> 3</w:t>
      </w:r>
      <w:r w:rsidR="00B60616">
        <w:rPr>
          <w:sz w:val="22"/>
        </w:rPr>
        <w:t>1</w:t>
      </w:r>
      <w:r w:rsidRPr="00B60616">
        <w:rPr>
          <w:sz w:val="22"/>
        </w:rPr>
        <w:t>, 201</w:t>
      </w:r>
      <w:r w:rsidR="00B60616">
        <w:rPr>
          <w:sz w:val="22"/>
        </w:rPr>
        <w:t>4</w:t>
      </w:r>
      <w:r w:rsidRPr="00B60616">
        <w:rPr>
          <w:sz w:val="22"/>
        </w:rPr>
        <w:t xml:space="preserve"> and $</w:t>
      </w:r>
      <w:r w:rsidR="00B60616">
        <w:rPr>
          <w:sz w:val="22"/>
        </w:rPr>
        <w:t>436</w:t>
      </w:r>
      <w:r w:rsidR="00CC4CF2" w:rsidRPr="00B60616">
        <w:rPr>
          <w:sz w:val="22"/>
        </w:rPr>
        <w:t>,</w:t>
      </w:r>
      <w:r w:rsidR="00B60616">
        <w:rPr>
          <w:sz w:val="22"/>
        </w:rPr>
        <w:t>162</w:t>
      </w:r>
      <w:r w:rsidRPr="00B60616">
        <w:rPr>
          <w:sz w:val="22"/>
        </w:rPr>
        <w:t xml:space="preserve"> as of </w:t>
      </w:r>
      <w:r w:rsidR="00D726F1" w:rsidRPr="00B60616">
        <w:rPr>
          <w:sz w:val="22"/>
        </w:rPr>
        <w:t xml:space="preserve">December </w:t>
      </w:r>
      <w:r w:rsidRPr="00B60616">
        <w:rPr>
          <w:sz w:val="22"/>
        </w:rPr>
        <w:t>31, 201</w:t>
      </w:r>
      <w:r w:rsidR="00B60616">
        <w:rPr>
          <w:sz w:val="22"/>
        </w:rPr>
        <w:t>3</w:t>
      </w:r>
      <w:r w:rsidRPr="00B60616">
        <w:rPr>
          <w:sz w:val="22"/>
        </w:rPr>
        <w:t xml:space="preserve">. </w:t>
      </w:r>
      <w:r w:rsidR="0085787A" w:rsidRPr="00B60616">
        <w:rPr>
          <w:sz w:val="22"/>
        </w:rPr>
        <w:t xml:space="preserve"> </w:t>
      </w:r>
      <w:r w:rsidRPr="00B60616">
        <w:rPr>
          <w:sz w:val="22"/>
        </w:rPr>
        <w:t>Accordingly, the Company</w:t>
      </w:r>
      <w:r w:rsidR="00744A72" w:rsidRPr="00B60616">
        <w:rPr>
          <w:sz w:val="22"/>
        </w:rPr>
        <w:t>’</w:t>
      </w:r>
      <w:r w:rsidRPr="00B60616">
        <w:rPr>
          <w:sz w:val="22"/>
        </w:rPr>
        <w:t xml:space="preserve">s variable rate debt approximates market value for similar instruments at the respective dates. The Company had fixed rate debt of </w:t>
      </w:r>
      <w:r w:rsidRPr="00092B9E">
        <w:rPr>
          <w:sz w:val="22"/>
        </w:rPr>
        <w:t>$</w:t>
      </w:r>
      <w:r w:rsidR="00DF3C66" w:rsidRPr="00092B9E">
        <w:rPr>
          <w:sz w:val="22"/>
        </w:rPr>
        <w:t>7</w:t>
      </w:r>
      <w:r w:rsidR="00092B9E" w:rsidRPr="00092B9E">
        <w:rPr>
          <w:sz w:val="22"/>
        </w:rPr>
        <w:t>16</w:t>
      </w:r>
      <w:r w:rsidR="00DF3C66" w:rsidRPr="00092B9E">
        <w:rPr>
          <w:sz w:val="22"/>
        </w:rPr>
        <w:t>,</w:t>
      </w:r>
      <w:r w:rsidR="00092B9E" w:rsidRPr="00092B9E">
        <w:rPr>
          <w:sz w:val="22"/>
        </w:rPr>
        <w:t>006</w:t>
      </w:r>
      <w:r w:rsidRPr="00092B9E">
        <w:rPr>
          <w:sz w:val="22"/>
        </w:rPr>
        <w:t xml:space="preserve"> as of</w:t>
      </w:r>
      <w:r w:rsidR="00124699" w:rsidRPr="00092B9E">
        <w:rPr>
          <w:sz w:val="22"/>
        </w:rPr>
        <w:t xml:space="preserve"> </w:t>
      </w:r>
      <w:r w:rsidR="00B60616" w:rsidRPr="00092B9E">
        <w:rPr>
          <w:sz w:val="22"/>
        </w:rPr>
        <w:t>March</w:t>
      </w:r>
      <w:r w:rsidRPr="00B60616">
        <w:rPr>
          <w:sz w:val="22"/>
        </w:rPr>
        <w:t> 3</w:t>
      </w:r>
      <w:r w:rsidR="00B60616">
        <w:rPr>
          <w:sz w:val="22"/>
        </w:rPr>
        <w:t>1</w:t>
      </w:r>
      <w:r w:rsidRPr="00B60616">
        <w:rPr>
          <w:sz w:val="22"/>
        </w:rPr>
        <w:t>, 201</w:t>
      </w:r>
      <w:r w:rsidR="00B60616">
        <w:rPr>
          <w:sz w:val="22"/>
        </w:rPr>
        <w:t>4</w:t>
      </w:r>
      <w:r w:rsidRPr="00B60616">
        <w:rPr>
          <w:sz w:val="22"/>
        </w:rPr>
        <w:t xml:space="preserve"> and $</w:t>
      </w:r>
      <w:r w:rsidR="00B60616">
        <w:rPr>
          <w:sz w:val="22"/>
        </w:rPr>
        <w:t>727</w:t>
      </w:r>
      <w:r w:rsidR="00CC4CF2" w:rsidRPr="00B60616">
        <w:rPr>
          <w:sz w:val="22"/>
        </w:rPr>
        <w:t>,</w:t>
      </w:r>
      <w:r w:rsidR="00B60616">
        <w:rPr>
          <w:sz w:val="22"/>
        </w:rPr>
        <w:t>975</w:t>
      </w:r>
      <w:r w:rsidRPr="00B60616">
        <w:rPr>
          <w:sz w:val="22"/>
        </w:rPr>
        <w:t xml:space="preserve"> as of </w:t>
      </w:r>
      <w:r w:rsidR="00D726F1" w:rsidRPr="00B60616">
        <w:rPr>
          <w:sz w:val="22"/>
        </w:rPr>
        <w:t>December</w:t>
      </w:r>
      <w:r w:rsidRPr="00B60616">
        <w:rPr>
          <w:sz w:val="22"/>
        </w:rPr>
        <w:t> 31, 201</w:t>
      </w:r>
      <w:r w:rsidR="00B60616">
        <w:rPr>
          <w:sz w:val="22"/>
        </w:rPr>
        <w:t>3</w:t>
      </w:r>
      <w:r w:rsidRPr="00B60616">
        <w:rPr>
          <w:sz w:val="22"/>
        </w:rPr>
        <w:t>.</w:t>
      </w:r>
      <w:r w:rsidR="00D726F1" w:rsidRPr="00B60616">
        <w:rPr>
          <w:sz w:val="22"/>
        </w:rPr>
        <w:t xml:space="preserve"> </w:t>
      </w:r>
      <w:r w:rsidR="003A2B07">
        <w:rPr>
          <w:sz w:val="22"/>
        </w:rPr>
        <w:t xml:space="preserve"> Fair value was calculated based</w:t>
      </w:r>
      <w:r w:rsidRPr="00B60616">
        <w:rPr>
          <w:sz w:val="22"/>
        </w:rPr>
        <w:t xml:space="preserve"> on inputs classified as Level 2 in the fair value hierarchy.</w:t>
      </w:r>
    </w:p>
    <w:p w:rsidR="0086737A" w:rsidRDefault="0086737A" w:rsidP="00967665">
      <w:pPr>
        <w:widowControl/>
        <w:tabs>
          <w:tab w:val="left" w:pos="-720"/>
        </w:tabs>
        <w:suppressAutoHyphens/>
        <w:spacing w:after="240"/>
        <w:ind w:firstLine="720"/>
        <w:jc w:val="both"/>
        <w:rPr>
          <w:sz w:val="22"/>
        </w:rPr>
      </w:pPr>
    </w:p>
    <w:p w:rsidR="0086737A" w:rsidRDefault="0086737A" w:rsidP="00967665">
      <w:pPr>
        <w:widowControl/>
        <w:tabs>
          <w:tab w:val="left" w:pos="-720"/>
        </w:tabs>
        <w:suppressAutoHyphens/>
        <w:spacing w:after="240"/>
        <w:ind w:firstLine="720"/>
        <w:jc w:val="both"/>
        <w:rPr>
          <w:sz w:val="22"/>
        </w:rPr>
      </w:pPr>
    </w:p>
    <w:p w:rsidR="0086737A" w:rsidRDefault="0086737A" w:rsidP="00967665">
      <w:pPr>
        <w:widowControl/>
        <w:tabs>
          <w:tab w:val="left" w:pos="-720"/>
        </w:tabs>
        <w:suppressAutoHyphens/>
        <w:spacing w:after="240"/>
        <w:ind w:firstLine="720"/>
        <w:jc w:val="both"/>
        <w:rPr>
          <w:sz w:val="22"/>
        </w:rPr>
      </w:pPr>
    </w:p>
    <w:p w:rsidR="0086737A" w:rsidRDefault="0086737A" w:rsidP="00967665">
      <w:pPr>
        <w:widowControl/>
        <w:tabs>
          <w:tab w:val="left" w:pos="-720"/>
        </w:tabs>
        <w:suppressAutoHyphens/>
        <w:spacing w:after="240"/>
        <w:ind w:firstLine="720"/>
        <w:jc w:val="both"/>
        <w:rPr>
          <w:sz w:val="22"/>
        </w:rPr>
      </w:pPr>
    </w:p>
    <w:p w:rsidR="0086737A" w:rsidRPr="00B60616" w:rsidRDefault="0086737A" w:rsidP="00967665">
      <w:pPr>
        <w:widowControl/>
        <w:tabs>
          <w:tab w:val="left" w:pos="-720"/>
        </w:tabs>
        <w:suppressAutoHyphens/>
        <w:spacing w:after="240"/>
        <w:ind w:firstLine="720"/>
        <w:jc w:val="both"/>
        <w:rPr>
          <w:sz w:val="22"/>
        </w:rPr>
      </w:pPr>
    </w:p>
    <w:p w:rsidR="0086737A" w:rsidRDefault="0086737A" w:rsidP="0086737A">
      <w:pPr>
        <w:keepNext/>
        <w:keepLines/>
        <w:widowControl/>
        <w:tabs>
          <w:tab w:val="left" w:pos="-720"/>
          <w:tab w:val="left" w:pos="720"/>
          <w:tab w:val="left" w:pos="1440"/>
        </w:tabs>
        <w:suppressAutoHyphens/>
        <w:spacing w:after="240"/>
        <w:jc w:val="both"/>
        <w:rPr>
          <w:b/>
          <w:bCs/>
          <w:sz w:val="22"/>
        </w:rPr>
      </w:pPr>
      <w:r w:rsidRPr="00B60616">
        <w:rPr>
          <w:b/>
          <w:bCs/>
          <w:sz w:val="22"/>
        </w:rPr>
        <w:lastRenderedPageBreak/>
        <w:t>1</w:t>
      </w:r>
      <w:r>
        <w:rPr>
          <w:b/>
          <w:bCs/>
          <w:sz w:val="22"/>
        </w:rPr>
        <w:t>3</w:t>
      </w:r>
      <w:r w:rsidRPr="00B60616">
        <w:rPr>
          <w:b/>
          <w:bCs/>
          <w:sz w:val="22"/>
        </w:rPr>
        <w:t>. Fair Value of Financial Instruments (continued)</w:t>
      </w:r>
    </w:p>
    <w:p w:rsidR="00744A72" w:rsidRPr="009515FF" w:rsidRDefault="00CA14BE" w:rsidP="00EE2E7E">
      <w:pPr>
        <w:widowControl/>
        <w:tabs>
          <w:tab w:val="left" w:pos="-720"/>
        </w:tabs>
        <w:suppressAutoHyphens/>
        <w:spacing w:after="240"/>
        <w:ind w:firstLine="720"/>
        <w:jc w:val="both"/>
        <w:rPr>
          <w:sz w:val="22"/>
        </w:rPr>
      </w:pPr>
      <w:r w:rsidRPr="009515FF">
        <w:rPr>
          <w:sz w:val="22"/>
        </w:rPr>
        <w:t>The carrying amounts and fair values of the Company</w:t>
      </w:r>
      <w:r w:rsidR="00744A72" w:rsidRPr="009515FF">
        <w:rPr>
          <w:sz w:val="22"/>
        </w:rPr>
        <w:t>’</w:t>
      </w:r>
      <w:r w:rsidRPr="009515FF">
        <w:rPr>
          <w:sz w:val="22"/>
        </w:rPr>
        <w:t>s financial instruments are as follows:</w:t>
      </w:r>
    </w:p>
    <w:tbl>
      <w:tblPr>
        <w:tblW w:w="0" w:type="auto"/>
        <w:jc w:val="center"/>
        <w:tblInd w:w="-1053" w:type="dxa"/>
        <w:tblLayout w:type="fixed"/>
        <w:tblCellMar>
          <w:left w:w="72" w:type="dxa"/>
          <w:right w:w="72" w:type="dxa"/>
        </w:tblCellMar>
        <w:tblLook w:val="0000" w:firstRow="0" w:lastRow="0" w:firstColumn="0" w:lastColumn="0" w:noHBand="0" w:noVBand="0"/>
      </w:tblPr>
      <w:tblGrid>
        <w:gridCol w:w="3854"/>
        <w:gridCol w:w="1440"/>
        <w:gridCol w:w="1440"/>
        <w:gridCol w:w="1440"/>
        <w:gridCol w:w="1440"/>
      </w:tblGrid>
      <w:tr w:rsidR="00CC3E62" w:rsidRPr="009515FF" w:rsidTr="000775AB">
        <w:trPr>
          <w:cantSplit/>
          <w:jc w:val="center"/>
        </w:trPr>
        <w:tc>
          <w:tcPr>
            <w:tcW w:w="3854" w:type="dxa"/>
            <w:tcBorders>
              <w:top w:val="nil"/>
              <w:left w:val="nil"/>
              <w:bottom w:val="nil"/>
              <w:right w:val="nil"/>
            </w:tcBorders>
            <w:vAlign w:val="bottom"/>
          </w:tcPr>
          <w:p w:rsidR="00CA14BE" w:rsidRPr="009515FF"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p>
        </w:tc>
        <w:tc>
          <w:tcPr>
            <w:tcW w:w="2880" w:type="dxa"/>
            <w:gridSpan w:val="2"/>
            <w:tcBorders>
              <w:top w:val="nil"/>
              <w:left w:val="nil"/>
              <w:bottom w:val="nil"/>
              <w:right w:val="nil"/>
            </w:tcBorders>
            <w:vAlign w:val="bottom"/>
          </w:tcPr>
          <w:p w:rsidR="00CA14BE" w:rsidRPr="009515FF" w:rsidRDefault="00B60616" w:rsidP="00B6061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9515FF">
              <w:rPr>
                <w:b/>
                <w:bCs/>
                <w:sz w:val="22"/>
              </w:rPr>
              <w:t>March</w:t>
            </w:r>
            <w:r w:rsidR="00CA14BE" w:rsidRPr="009515FF">
              <w:rPr>
                <w:b/>
                <w:bCs/>
                <w:sz w:val="22"/>
              </w:rPr>
              <w:t> 3</w:t>
            </w:r>
            <w:r w:rsidRPr="009515FF">
              <w:rPr>
                <w:b/>
                <w:bCs/>
                <w:sz w:val="22"/>
              </w:rPr>
              <w:t>1</w:t>
            </w:r>
            <w:r w:rsidR="00CA14BE" w:rsidRPr="009515FF">
              <w:rPr>
                <w:b/>
                <w:bCs/>
                <w:sz w:val="22"/>
              </w:rPr>
              <w:t>, 201</w:t>
            </w:r>
            <w:r w:rsidRPr="009515FF">
              <w:rPr>
                <w:b/>
                <w:bCs/>
                <w:sz w:val="22"/>
              </w:rPr>
              <w:t>4</w:t>
            </w:r>
          </w:p>
        </w:tc>
        <w:tc>
          <w:tcPr>
            <w:tcW w:w="2880" w:type="dxa"/>
            <w:gridSpan w:val="2"/>
            <w:tcBorders>
              <w:top w:val="nil"/>
              <w:left w:val="nil"/>
              <w:bottom w:val="nil"/>
              <w:right w:val="nil"/>
            </w:tcBorders>
            <w:vAlign w:val="bottom"/>
          </w:tcPr>
          <w:p w:rsidR="00CA14BE" w:rsidRPr="009515FF" w:rsidRDefault="00D726F1" w:rsidP="00B6061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9515FF">
              <w:rPr>
                <w:b/>
                <w:bCs/>
                <w:sz w:val="22"/>
              </w:rPr>
              <w:t>December</w:t>
            </w:r>
            <w:r w:rsidR="00CA14BE" w:rsidRPr="009515FF">
              <w:rPr>
                <w:b/>
                <w:bCs/>
                <w:sz w:val="22"/>
              </w:rPr>
              <w:t> 31, 201</w:t>
            </w:r>
            <w:r w:rsidR="00B60616" w:rsidRPr="009515FF">
              <w:rPr>
                <w:b/>
                <w:bCs/>
                <w:sz w:val="22"/>
              </w:rPr>
              <w:t>3</w:t>
            </w:r>
          </w:p>
        </w:tc>
      </w:tr>
      <w:tr w:rsidR="00CA14BE" w:rsidRPr="0053635E" w:rsidTr="000775AB">
        <w:trPr>
          <w:cantSplit/>
          <w:jc w:val="center"/>
        </w:trPr>
        <w:tc>
          <w:tcPr>
            <w:tcW w:w="3854" w:type="dxa"/>
            <w:tcBorders>
              <w:top w:val="nil"/>
              <w:left w:val="nil"/>
              <w:bottom w:val="nil"/>
              <w:right w:val="nil"/>
            </w:tcBorders>
            <w:vAlign w:val="bottom"/>
          </w:tcPr>
          <w:p w:rsidR="00CA14BE" w:rsidRPr="009515FF"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p>
        </w:tc>
        <w:tc>
          <w:tcPr>
            <w:tcW w:w="1440" w:type="dxa"/>
            <w:tcBorders>
              <w:top w:val="nil"/>
              <w:left w:val="nil"/>
              <w:bottom w:val="nil"/>
              <w:right w:val="nil"/>
            </w:tcBorders>
            <w:vAlign w:val="bottom"/>
          </w:tcPr>
          <w:p w:rsidR="00CA14BE" w:rsidRPr="009515FF"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9515FF">
              <w:rPr>
                <w:b/>
                <w:bCs/>
                <w:sz w:val="22"/>
              </w:rPr>
              <w:t>Carrying</w:t>
            </w:r>
            <w:r w:rsidR="00744A72" w:rsidRPr="009515FF">
              <w:rPr>
                <w:b/>
                <w:bCs/>
                <w:sz w:val="22"/>
              </w:rPr>
              <w:br/>
            </w:r>
            <w:r w:rsidRPr="009515FF">
              <w:rPr>
                <w:b/>
                <w:bCs/>
                <w:sz w:val="22"/>
              </w:rPr>
              <w:t>Amount of</w:t>
            </w:r>
            <w:r w:rsidR="00744A72" w:rsidRPr="009515FF">
              <w:rPr>
                <w:b/>
                <w:bCs/>
                <w:sz w:val="22"/>
              </w:rPr>
              <w:br/>
            </w:r>
            <w:r w:rsidRPr="009515FF">
              <w:rPr>
                <w:b/>
                <w:bCs/>
                <w:sz w:val="22"/>
              </w:rPr>
              <w:t>Asset</w:t>
            </w:r>
            <w:r w:rsidR="00744A72" w:rsidRPr="009515FF">
              <w:rPr>
                <w:b/>
                <w:bCs/>
                <w:sz w:val="22"/>
              </w:rPr>
              <w:br/>
            </w:r>
            <w:r w:rsidRPr="009515FF">
              <w:rPr>
                <w:b/>
                <w:bCs/>
                <w:sz w:val="22"/>
              </w:rPr>
              <w:t>(Liability)</w:t>
            </w:r>
          </w:p>
        </w:tc>
        <w:tc>
          <w:tcPr>
            <w:tcW w:w="1440" w:type="dxa"/>
            <w:tcBorders>
              <w:top w:val="nil"/>
              <w:left w:val="nil"/>
              <w:bottom w:val="nil"/>
              <w:right w:val="nil"/>
            </w:tcBorders>
            <w:vAlign w:val="bottom"/>
          </w:tcPr>
          <w:p w:rsidR="00CA14BE" w:rsidRPr="009515FF"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9515FF">
              <w:rPr>
                <w:b/>
                <w:bCs/>
                <w:sz w:val="22"/>
              </w:rPr>
              <w:t>Fair Value of</w:t>
            </w:r>
            <w:r w:rsidR="00744A72" w:rsidRPr="009515FF">
              <w:rPr>
                <w:b/>
                <w:bCs/>
                <w:sz w:val="22"/>
              </w:rPr>
              <w:br/>
            </w:r>
            <w:r w:rsidRPr="009515FF">
              <w:rPr>
                <w:b/>
                <w:bCs/>
                <w:sz w:val="22"/>
              </w:rPr>
              <w:t>Asset</w:t>
            </w:r>
            <w:r w:rsidR="00744A72" w:rsidRPr="009515FF">
              <w:rPr>
                <w:b/>
                <w:bCs/>
                <w:sz w:val="22"/>
              </w:rPr>
              <w:br/>
            </w:r>
            <w:r w:rsidRPr="009515FF">
              <w:rPr>
                <w:b/>
                <w:bCs/>
                <w:sz w:val="22"/>
              </w:rPr>
              <w:t>(Liability)</w:t>
            </w:r>
          </w:p>
        </w:tc>
        <w:tc>
          <w:tcPr>
            <w:tcW w:w="1440" w:type="dxa"/>
            <w:tcBorders>
              <w:top w:val="nil"/>
              <w:left w:val="nil"/>
              <w:bottom w:val="nil"/>
              <w:right w:val="nil"/>
            </w:tcBorders>
            <w:vAlign w:val="bottom"/>
          </w:tcPr>
          <w:p w:rsidR="00CA14BE" w:rsidRPr="009515FF"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9515FF">
              <w:rPr>
                <w:b/>
                <w:bCs/>
                <w:sz w:val="22"/>
              </w:rPr>
              <w:t>Carrying</w:t>
            </w:r>
            <w:r w:rsidR="00744A72" w:rsidRPr="009515FF">
              <w:rPr>
                <w:b/>
                <w:bCs/>
                <w:sz w:val="22"/>
              </w:rPr>
              <w:br/>
            </w:r>
            <w:r w:rsidRPr="009515FF">
              <w:rPr>
                <w:b/>
                <w:bCs/>
                <w:sz w:val="22"/>
              </w:rPr>
              <w:t>Amount of</w:t>
            </w:r>
            <w:r w:rsidR="00744A72" w:rsidRPr="009515FF">
              <w:rPr>
                <w:b/>
                <w:bCs/>
                <w:sz w:val="22"/>
              </w:rPr>
              <w:br/>
            </w:r>
            <w:r w:rsidRPr="009515FF">
              <w:rPr>
                <w:b/>
                <w:bCs/>
                <w:sz w:val="22"/>
              </w:rPr>
              <w:t>Asset</w:t>
            </w:r>
            <w:r w:rsidR="00744A72" w:rsidRPr="009515FF">
              <w:rPr>
                <w:b/>
                <w:bCs/>
                <w:sz w:val="22"/>
              </w:rPr>
              <w:br/>
            </w:r>
            <w:r w:rsidRPr="009515FF">
              <w:rPr>
                <w:b/>
                <w:bCs/>
                <w:sz w:val="22"/>
              </w:rPr>
              <w:t>(Liability)</w:t>
            </w:r>
          </w:p>
        </w:tc>
        <w:tc>
          <w:tcPr>
            <w:tcW w:w="1440" w:type="dxa"/>
            <w:tcBorders>
              <w:top w:val="nil"/>
              <w:left w:val="nil"/>
              <w:bottom w:val="nil"/>
              <w:right w:val="nil"/>
            </w:tcBorders>
            <w:vAlign w:val="bottom"/>
          </w:tcPr>
          <w:p w:rsidR="00CA14BE" w:rsidRPr="009515FF"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9515FF">
              <w:rPr>
                <w:b/>
                <w:bCs/>
                <w:sz w:val="22"/>
              </w:rPr>
              <w:t>Fair Value of</w:t>
            </w:r>
            <w:r w:rsidR="00744A72" w:rsidRPr="009515FF">
              <w:rPr>
                <w:b/>
                <w:bCs/>
                <w:sz w:val="22"/>
              </w:rPr>
              <w:br/>
            </w:r>
            <w:r w:rsidRPr="009515FF">
              <w:rPr>
                <w:b/>
                <w:bCs/>
                <w:sz w:val="22"/>
              </w:rPr>
              <w:t>Asset</w:t>
            </w:r>
            <w:r w:rsidR="00744A72" w:rsidRPr="009515FF">
              <w:rPr>
                <w:b/>
                <w:bCs/>
                <w:sz w:val="22"/>
              </w:rPr>
              <w:br/>
            </w:r>
            <w:r w:rsidRPr="009515FF">
              <w:rPr>
                <w:b/>
                <w:bCs/>
                <w:sz w:val="22"/>
              </w:rPr>
              <w:t>(Liability)</w:t>
            </w:r>
          </w:p>
        </w:tc>
      </w:tr>
      <w:tr w:rsidR="00D726F1" w:rsidRPr="0053635E" w:rsidTr="000775AB">
        <w:trPr>
          <w:cantSplit/>
          <w:jc w:val="center"/>
        </w:trPr>
        <w:tc>
          <w:tcPr>
            <w:tcW w:w="3854" w:type="dxa"/>
            <w:tcBorders>
              <w:top w:val="nil"/>
              <w:left w:val="nil"/>
              <w:bottom w:val="nil"/>
              <w:right w:val="nil"/>
            </w:tcBorders>
          </w:tcPr>
          <w:p w:rsidR="00D726F1" w:rsidRPr="0053635E" w:rsidRDefault="000775AB" w:rsidP="00805567">
            <w:pPr>
              <w:widowControl/>
              <w:suppressAutoHyphens/>
              <w:ind w:left="-125"/>
              <w:rPr>
                <w:sz w:val="22"/>
                <w:highlight w:val="yellow"/>
              </w:rPr>
            </w:pPr>
            <w:r w:rsidRPr="0053635E">
              <w:rPr>
                <w:sz w:val="22"/>
                <w:highlight w:val="yellow"/>
              </w:rPr>
              <w:t xml:space="preserve"> </w:t>
            </w:r>
            <w:r w:rsidR="00805567" w:rsidRPr="009515FF">
              <w:rPr>
                <w:sz w:val="22"/>
              </w:rPr>
              <w:t>Total d</w:t>
            </w:r>
            <w:r w:rsidR="00D726F1" w:rsidRPr="009515FF">
              <w:rPr>
                <w:sz w:val="22"/>
              </w:rPr>
              <w:t>ebt</w:t>
            </w:r>
            <w:r w:rsidR="00F36C69" w:rsidRPr="009515FF">
              <w:rPr>
                <w:sz w:val="22"/>
              </w:rPr>
              <w:t xml:space="preserve"> and capital lease obligations</w:t>
            </w:r>
            <w:r w:rsidR="00D726F1" w:rsidRPr="009515FF">
              <w:rPr>
                <w:sz w:val="22"/>
              </w:rPr>
              <w:tab/>
            </w:r>
          </w:p>
        </w:tc>
        <w:tc>
          <w:tcPr>
            <w:tcW w:w="1440" w:type="dxa"/>
            <w:tcBorders>
              <w:top w:val="nil"/>
              <w:left w:val="nil"/>
              <w:bottom w:val="nil"/>
              <w:right w:val="nil"/>
            </w:tcBorders>
            <w:vAlign w:val="bottom"/>
          </w:tcPr>
          <w:p w:rsidR="00D726F1" w:rsidRPr="003A2B07" w:rsidRDefault="00A66AFD" w:rsidP="00376B5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A2B07">
              <w:rPr>
                <w:sz w:val="22"/>
              </w:rPr>
              <w:t xml:space="preserve">$  </w:t>
            </w:r>
            <w:r w:rsidR="00D726F1" w:rsidRPr="003A2B07">
              <w:rPr>
                <w:sz w:val="22"/>
              </w:rPr>
              <w:t>(1,1</w:t>
            </w:r>
            <w:r w:rsidR="00376B51" w:rsidRPr="003A2B07">
              <w:rPr>
                <w:sz w:val="22"/>
              </w:rPr>
              <w:t>45</w:t>
            </w:r>
            <w:r w:rsidR="00D726F1" w:rsidRPr="003A2B07">
              <w:rPr>
                <w:sz w:val="22"/>
              </w:rPr>
              <w:t>,</w:t>
            </w:r>
            <w:r w:rsidR="00376B51" w:rsidRPr="003A2B07">
              <w:rPr>
                <w:sz w:val="22"/>
              </w:rPr>
              <w:t>471</w:t>
            </w:r>
            <w:r w:rsidR="00D726F1" w:rsidRPr="003A2B07">
              <w:rPr>
                <w:sz w:val="22"/>
              </w:rPr>
              <w:t>)</w:t>
            </w:r>
          </w:p>
        </w:tc>
        <w:tc>
          <w:tcPr>
            <w:tcW w:w="1440" w:type="dxa"/>
            <w:tcBorders>
              <w:top w:val="nil"/>
              <w:left w:val="nil"/>
              <w:bottom w:val="nil"/>
              <w:right w:val="nil"/>
            </w:tcBorders>
            <w:vAlign w:val="bottom"/>
          </w:tcPr>
          <w:p w:rsidR="00D726F1" w:rsidRPr="003A2B07" w:rsidRDefault="00A66AFD" w:rsidP="003A2B0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A2B07">
              <w:rPr>
                <w:sz w:val="22"/>
              </w:rPr>
              <w:t>$</w:t>
            </w:r>
            <w:r w:rsidR="00124699" w:rsidRPr="003A2B07">
              <w:rPr>
                <w:sz w:val="22"/>
              </w:rPr>
              <w:t xml:space="preserve"> </w:t>
            </w:r>
            <w:r w:rsidRPr="003A2B07">
              <w:rPr>
                <w:sz w:val="22"/>
              </w:rPr>
              <w:t xml:space="preserve"> </w:t>
            </w:r>
            <w:r w:rsidR="00D726F1" w:rsidRPr="003A2B07">
              <w:rPr>
                <w:sz w:val="22"/>
              </w:rPr>
              <w:t>(1,1</w:t>
            </w:r>
            <w:r w:rsidR="003A2B07" w:rsidRPr="003A2B07">
              <w:rPr>
                <w:sz w:val="22"/>
              </w:rPr>
              <w:t>92</w:t>
            </w:r>
            <w:r w:rsidR="00D726F1" w:rsidRPr="003A2B07">
              <w:rPr>
                <w:sz w:val="22"/>
              </w:rPr>
              <w:t>,</w:t>
            </w:r>
            <w:r w:rsidR="003A2B07" w:rsidRPr="003A2B07">
              <w:rPr>
                <w:sz w:val="22"/>
              </w:rPr>
              <w:t>990</w:t>
            </w:r>
            <w:r w:rsidR="00D726F1" w:rsidRPr="003A2B07">
              <w:rPr>
                <w:sz w:val="22"/>
              </w:rPr>
              <w:t>)</w:t>
            </w:r>
          </w:p>
        </w:tc>
        <w:tc>
          <w:tcPr>
            <w:tcW w:w="1440" w:type="dxa"/>
            <w:tcBorders>
              <w:top w:val="nil"/>
              <w:left w:val="nil"/>
              <w:bottom w:val="nil"/>
              <w:right w:val="nil"/>
            </w:tcBorders>
            <w:vAlign w:val="bottom"/>
          </w:tcPr>
          <w:p w:rsidR="00D726F1" w:rsidRPr="003A2B07" w:rsidRDefault="00A66AFD" w:rsidP="009515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A2B07">
              <w:rPr>
                <w:sz w:val="22"/>
              </w:rPr>
              <w:t xml:space="preserve">$  </w:t>
            </w:r>
            <w:r w:rsidR="00D726F1" w:rsidRPr="003A2B07">
              <w:rPr>
                <w:sz w:val="22"/>
              </w:rPr>
              <w:t>(1,1</w:t>
            </w:r>
            <w:r w:rsidR="009515FF" w:rsidRPr="003A2B07">
              <w:rPr>
                <w:sz w:val="22"/>
              </w:rPr>
              <w:t>64</w:t>
            </w:r>
            <w:r w:rsidR="00D726F1" w:rsidRPr="003A2B07">
              <w:rPr>
                <w:sz w:val="22"/>
              </w:rPr>
              <w:t>,</w:t>
            </w:r>
            <w:r w:rsidR="009515FF" w:rsidRPr="003A2B07">
              <w:rPr>
                <w:sz w:val="22"/>
              </w:rPr>
              <w:t>137</w:t>
            </w:r>
            <w:r w:rsidR="00D726F1" w:rsidRPr="003A2B07">
              <w:rPr>
                <w:sz w:val="22"/>
              </w:rPr>
              <w:t>)</w:t>
            </w:r>
          </w:p>
        </w:tc>
        <w:tc>
          <w:tcPr>
            <w:tcW w:w="1440" w:type="dxa"/>
            <w:tcBorders>
              <w:top w:val="nil"/>
              <w:left w:val="nil"/>
              <w:bottom w:val="nil"/>
              <w:right w:val="nil"/>
            </w:tcBorders>
            <w:vAlign w:val="bottom"/>
          </w:tcPr>
          <w:p w:rsidR="00D726F1" w:rsidRPr="009515FF" w:rsidRDefault="00A66AFD" w:rsidP="009515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9515FF">
              <w:rPr>
                <w:sz w:val="22"/>
              </w:rPr>
              <w:t xml:space="preserve">$  </w:t>
            </w:r>
            <w:r w:rsidR="00D726F1" w:rsidRPr="009515FF">
              <w:rPr>
                <w:sz w:val="22"/>
              </w:rPr>
              <w:t>(1,</w:t>
            </w:r>
            <w:r w:rsidR="009515FF" w:rsidRPr="009515FF">
              <w:rPr>
                <w:sz w:val="22"/>
              </w:rPr>
              <w:t>205</w:t>
            </w:r>
            <w:r w:rsidR="00D726F1" w:rsidRPr="009515FF">
              <w:rPr>
                <w:sz w:val="22"/>
              </w:rPr>
              <w:t>,</w:t>
            </w:r>
            <w:r w:rsidR="009515FF" w:rsidRPr="009515FF">
              <w:rPr>
                <w:sz w:val="22"/>
              </w:rPr>
              <w:t>298</w:t>
            </w:r>
            <w:r w:rsidR="00D726F1" w:rsidRPr="009515FF">
              <w:rPr>
                <w:sz w:val="22"/>
              </w:rPr>
              <w:t>)</w:t>
            </w:r>
          </w:p>
        </w:tc>
      </w:tr>
    </w:tbl>
    <w:p w:rsidR="0086737A" w:rsidRDefault="0086737A" w:rsidP="00744A72">
      <w:pPr>
        <w:keepNext/>
        <w:keepLines/>
        <w:widowControl/>
        <w:tabs>
          <w:tab w:val="left" w:pos="-720"/>
          <w:tab w:val="left" w:pos="720"/>
          <w:tab w:val="left" w:pos="1440"/>
        </w:tabs>
        <w:suppressAutoHyphens/>
        <w:spacing w:before="240" w:after="240"/>
        <w:rPr>
          <w:b/>
          <w:bCs/>
          <w:sz w:val="22"/>
        </w:rPr>
      </w:pPr>
    </w:p>
    <w:p w:rsidR="00CA14BE" w:rsidRPr="00AD50EE" w:rsidRDefault="00597C55" w:rsidP="00744A72">
      <w:pPr>
        <w:keepNext/>
        <w:keepLines/>
        <w:widowControl/>
        <w:tabs>
          <w:tab w:val="left" w:pos="-720"/>
          <w:tab w:val="left" w:pos="720"/>
          <w:tab w:val="left" w:pos="1440"/>
        </w:tabs>
        <w:suppressAutoHyphens/>
        <w:spacing w:before="240" w:after="240"/>
        <w:rPr>
          <w:b/>
          <w:bCs/>
          <w:sz w:val="22"/>
        </w:rPr>
      </w:pPr>
      <w:r w:rsidRPr="00AD50EE">
        <w:rPr>
          <w:b/>
          <w:bCs/>
          <w:sz w:val="22"/>
        </w:rPr>
        <w:t>1</w:t>
      </w:r>
      <w:r w:rsidR="00967665">
        <w:rPr>
          <w:b/>
          <w:bCs/>
          <w:sz w:val="22"/>
        </w:rPr>
        <w:t>4</w:t>
      </w:r>
      <w:r w:rsidR="00CA14BE" w:rsidRPr="00AD50EE">
        <w:rPr>
          <w:b/>
          <w:bCs/>
          <w:sz w:val="22"/>
        </w:rPr>
        <w:t>. Guarantor Financial Information</w:t>
      </w:r>
    </w:p>
    <w:p w:rsidR="00441BCF" w:rsidRDefault="00CA14BE" w:rsidP="00AD50EE">
      <w:pPr>
        <w:widowControl/>
        <w:tabs>
          <w:tab w:val="left" w:pos="-720"/>
        </w:tabs>
        <w:suppressAutoHyphens/>
        <w:spacing w:after="240"/>
        <w:ind w:firstLine="720"/>
        <w:jc w:val="both"/>
        <w:rPr>
          <w:sz w:val="22"/>
        </w:rPr>
      </w:pPr>
      <w:r w:rsidRPr="00AD50EE">
        <w:rPr>
          <w:sz w:val="22"/>
        </w:rPr>
        <w:t xml:space="preserve">On August 9, 2012, TRAC Intermodal LLC along with TRAC Intermodal Corp., entered into a </w:t>
      </w:r>
      <w:r w:rsidR="00BC154B" w:rsidRPr="00AD50EE">
        <w:rPr>
          <w:sz w:val="22"/>
        </w:rPr>
        <w:t xml:space="preserve">purchase agreement </w:t>
      </w:r>
      <w:r w:rsidRPr="00AD50EE">
        <w:rPr>
          <w:sz w:val="22"/>
        </w:rPr>
        <w:t xml:space="preserve">pursuant to which it sold $300,000 </w:t>
      </w:r>
      <w:r w:rsidR="00BC154B" w:rsidRPr="00AD50EE">
        <w:rPr>
          <w:sz w:val="22"/>
        </w:rPr>
        <w:t xml:space="preserve">aggregate </w:t>
      </w:r>
      <w:r w:rsidRPr="00AD50EE">
        <w:rPr>
          <w:sz w:val="22"/>
        </w:rPr>
        <w:t xml:space="preserve">principal amount of the </w:t>
      </w:r>
      <w:r w:rsidR="009515FF" w:rsidRPr="00AD50EE">
        <w:rPr>
          <w:sz w:val="22"/>
        </w:rPr>
        <w:t>Senior Secured 11% Notes</w:t>
      </w:r>
      <w:r w:rsidRPr="00AD50EE">
        <w:rPr>
          <w:sz w:val="22"/>
        </w:rPr>
        <w:t xml:space="preserve">. Concurrent with the offering of the </w:t>
      </w:r>
      <w:r w:rsidR="00AD50EE" w:rsidRPr="00AD50EE">
        <w:rPr>
          <w:sz w:val="22"/>
        </w:rPr>
        <w:t>n</w:t>
      </w:r>
      <w:r w:rsidRPr="00AD50EE">
        <w:rPr>
          <w:sz w:val="22"/>
        </w:rPr>
        <w:t>otes, the Company entered into a registration rights agreement with investors which require</w:t>
      </w:r>
      <w:r w:rsidR="00BC154B" w:rsidRPr="00AD50EE">
        <w:rPr>
          <w:sz w:val="22"/>
        </w:rPr>
        <w:t>d</w:t>
      </w:r>
      <w:r w:rsidRPr="00AD50EE">
        <w:rPr>
          <w:sz w:val="22"/>
        </w:rPr>
        <w:t xml:space="preserve"> the Company to file a registration statement with the S</w:t>
      </w:r>
      <w:r w:rsidR="005E0DD0">
        <w:rPr>
          <w:sz w:val="22"/>
        </w:rPr>
        <w:t>EC</w:t>
      </w:r>
      <w:r w:rsidRPr="00AD50EE">
        <w:rPr>
          <w:sz w:val="22"/>
        </w:rPr>
        <w:t xml:space="preserve"> to offer exchange notes with terms substantially identical in to the Original Notes</w:t>
      </w:r>
      <w:r w:rsidR="009515FF" w:rsidRPr="00AD50EE">
        <w:rPr>
          <w:sz w:val="22"/>
        </w:rPr>
        <w:t xml:space="preserve">. The exchange offer to exchange the Original Notes for notes which have been registered under the Securities Act </w:t>
      </w:r>
      <w:r w:rsidR="005E0DD0">
        <w:rPr>
          <w:sz w:val="22"/>
        </w:rPr>
        <w:t xml:space="preserve">of 1933, as amended (the “Securities Act”), </w:t>
      </w:r>
      <w:r w:rsidR="009515FF" w:rsidRPr="00AD50EE">
        <w:rPr>
          <w:sz w:val="22"/>
        </w:rPr>
        <w:t>commenced on June 6, 2013, expired on July 5, 2013 and closed on July 10, 2013.  Based on information provided by Wells Fargo Bank, N.A., the exchange agent for the exchange offer, as of the expiration date 100% of the Original Notes were validly tendered for exchange.</w:t>
      </w:r>
      <w:r w:rsidRPr="00AD50EE">
        <w:rPr>
          <w:sz w:val="22"/>
        </w:rPr>
        <w:t xml:space="preserve"> </w:t>
      </w:r>
      <w:r w:rsidR="00B60DAA" w:rsidRPr="00AD50EE">
        <w:rPr>
          <w:sz w:val="22"/>
        </w:rPr>
        <w:t xml:space="preserve"> </w:t>
      </w:r>
      <w:r w:rsidR="00F160DF" w:rsidRPr="00AD50EE">
        <w:rPr>
          <w:sz w:val="22"/>
        </w:rPr>
        <w:t xml:space="preserve"> </w:t>
      </w:r>
      <w:r w:rsidRPr="00AD50EE">
        <w:rPr>
          <w:sz w:val="22"/>
        </w:rPr>
        <w:t>The notes are jointly and severally guaranteed unconditionally on a senior secured basis by all of the</w:t>
      </w:r>
      <w:r w:rsidR="00BC154B" w:rsidRPr="00AD50EE">
        <w:rPr>
          <w:sz w:val="22"/>
        </w:rPr>
        <w:t xml:space="preserve"> Company’s </w:t>
      </w:r>
      <w:r w:rsidRPr="00AD50EE">
        <w:rPr>
          <w:sz w:val="22"/>
        </w:rPr>
        <w:t>existing and future wholly</w:t>
      </w:r>
      <w:r w:rsidRPr="00AD50EE">
        <w:rPr>
          <w:sz w:val="22"/>
        </w:rPr>
        <w:noBreakHyphen/>
        <w:t>owned domestic subsidiaries, with certain exceptions. All guarantor subsidiaries are 100% owned by the</w:t>
      </w:r>
      <w:r w:rsidR="00BC154B" w:rsidRPr="00AD50EE">
        <w:rPr>
          <w:sz w:val="22"/>
        </w:rPr>
        <w:t xml:space="preserve"> Company</w:t>
      </w:r>
      <w:r w:rsidRPr="00AD50EE">
        <w:rPr>
          <w:sz w:val="22"/>
        </w:rPr>
        <w:t xml:space="preserve">. </w:t>
      </w:r>
    </w:p>
    <w:p w:rsidR="0086737A" w:rsidRDefault="0086737A" w:rsidP="00AD50EE">
      <w:pPr>
        <w:widowControl/>
        <w:tabs>
          <w:tab w:val="left" w:pos="-720"/>
        </w:tabs>
        <w:suppressAutoHyphens/>
        <w:spacing w:after="240"/>
        <w:ind w:firstLine="720"/>
        <w:jc w:val="both"/>
        <w:rPr>
          <w:sz w:val="22"/>
        </w:rPr>
      </w:pPr>
    </w:p>
    <w:p w:rsidR="0086737A" w:rsidRDefault="0086737A" w:rsidP="00AD50EE">
      <w:pPr>
        <w:widowControl/>
        <w:tabs>
          <w:tab w:val="left" w:pos="-720"/>
        </w:tabs>
        <w:suppressAutoHyphens/>
        <w:spacing w:after="240"/>
        <w:ind w:firstLine="720"/>
        <w:jc w:val="both"/>
        <w:rPr>
          <w:sz w:val="22"/>
        </w:rPr>
      </w:pPr>
    </w:p>
    <w:p w:rsidR="0086737A" w:rsidRDefault="0086737A" w:rsidP="00AD50EE">
      <w:pPr>
        <w:widowControl/>
        <w:tabs>
          <w:tab w:val="left" w:pos="-720"/>
        </w:tabs>
        <w:suppressAutoHyphens/>
        <w:spacing w:after="240"/>
        <w:ind w:firstLine="720"/>
        <w:jc w:val="both"/>
        <w:rPr>
          <w:sz w:val="22"/>
        </w:rPr>
      </w:pPr>
    </w:p>
    <w:p w:rsidR="0086737A" w:rsidRDefault="0086737A" w:rsidP="00AD50EE">
      <w:pPr>
        <w:widowControl/>
        <w:tabs>
          <w:tab w:val="left" w:pos="-720"/>
        </w:tabs>
        <w:suppressAutoHyphens/>
        <w:spacing w:after="240"/>
        <w:ind w:firstLine="720"/>
        <w:jc w:val="both"/>
        <w:rPr>
          <w:sz w:val="22"/>
        </w:rPr>
      </w:pPr>
    </w:p>
    <w:p w:rsidR="0086737A" w:rsidRDefault="0086737A" w:rsidP="00AD50EE">
      <w:pPr>
        <w:widowControl/>
        <w:tabs>
          <w:tab w:val="left" w:pos="-720"/>
        </w:tabs>
        <w:suppressAutoHyphens/>
        <w:spacing w:after="240"/>
        <w:ind w:firstLine="720"/>
        <w:jc w:val="both"/>
        <w:rPr>
          <w:sz w:val="22"/>
        </w:rPr>
      </w:pPr>
    </w:p>
    <w:p w:rsidR="0086737A" w:rsidRDefault="0086737A" w:rsidP="00AD50EE">
      <w:pPr>
        <w:widowControl/>
        <w:tabs>
          <w:tab w:val="left" w:pos="-720"/>
        </w:tabs>
        <w:suppressAutoHyphens/>
        <w:spacing w:after="240"/>
        <w:ind w:firstLine="720"/>
        <w:jc w:val="both"/>
        <w:rPr>
          <w:sz w:val="22"/>
        </w:rPr>
      </w:pPr>
    </w:p>
    <w:p w:rsidR="0086737A" w:rsidRDefault="0086737A" w:rsidP="00AD50EE">
      <w:pPr>
        <w:widowControl/>
        <w:tabs>
          <w:tab w:val="left" w:pos="-720"/>
        </w:tabs>
        <w:suppressAutoHyphens/>
        <w:spacing w:after="240"/>
        <w:ind w:firstLine="720"/>
        <w:jc w:val="both"/>
        <w:rPr>
          <w:sz w:val="22"/>
        </w:rPr>
      </w:pPr>
    </w:p>
    <w:p w:rsidR="0086737A" w:rsidRDefault="0086737A" w:rsidP="00AD50EE">
      <w:pPr>
        <w:widowControl/>
        <w:tabs>
          <w:tab w:val="left" w:pos="-720"/>
        </w:tabs>
        <w:suppressAutoHyphens/>
        <w:spacing w:after="240"/>
        <w:ind w:firstLine="720"/>
        <w:jc w:val="both"/>
        <w:rPr>
          <w:sz w:val="22"/>
        </w:rPr>
      </w:pPr>
    </w:p>
    <w:p w:rsidR="00441BCF" w:rsidRPr="00ED1B4C" w:rsidRDefault="00441BCF" w:rsidP="00441BCF">
      <w:pPr>
        <w:keepNext/>
        <w:keepLines/>
        <w:widowControl/>
        <w:tabs>
          <w:tab w:val="left" w:pos="-720"/>
          <w:tab w:val="left" w:pos="720"/>
          <w:tab w:val="left" w:pos="1440"/>
        </w:tabs>
        <w:suppressAutoHyphens/>
        <w:spacing w:before="240" w:after="240"/>
        <w:rPr>
          <w:b/>
          <w:bCs/>
          <w:sz w:val="22"/>
        </w:rPr>
      </w:pPr>
      <w:r w:rsidRPr="00ED1B4C">
        <w:rPr>
          <w:b/>
          <w:bCs/>
          <w:sz w:val="22"/>
        </w:rPr>
        <w:lastRenderedPageBreak/>
        <w:t>1</w:t>
      </w:r>
      <w:r w:rsidR="00967665">
        <w:rPr>
          <w:b/>
          <w:bCs/>
          <w:sz w:val="22"/>
        </w:rPr>
        <w:t>4</w:t>
      </w:r>
      <w:r w:rsidRPr="00ED1B4C">
        <w:rPr>
          <w:b/>
          <w:bCs/>
          <w:sz w:val="22"/>
        </w:rPr>
        <w:t>. Guarantor Financial Information (continued)</w:t>
      </w:r>
    </w:p>
    <w:p w:rsidR="00B60DAA" w:rsidRPr="00ED1B4C" w:rsidRDefault="00B60DAA" w:rsidP="002B00C5">
      <w:pPr>
        <w:widowControl/>
        <w:tabs>
          <w:tab w:val="left" w:pos="-720"/>
        </w:tabs>
        <w:suppressAutoHyphens/>
        <w:spacing w:after="240"/>
        <w:ind w:firstLine="720"/>
        <w:jc w:val="both"/>
        <w:rPr>
          <w:b/>
          <w:bCs/>
        </w:rPr>
      </w:pPr>
    </w:p>
    <w:p w:rsidR="00941815" w:rsidRPr="00ED1B4C" w:rsidRDefault="00941815" w:rsidP="00941815">
      <w:pPr>
        <w:keepNext/>
        <w:keepLines/>
        <w:widowControl/>
        <w:tabs>
          <w:tab w:val="left" w:pos="720"/>
          <w:tab w:val="left" w:pos="1440"/>
          <w:tab w:val="center" w:pos="5400"/>
        </w:tabs>
        <w:suppressAutoHyphens/>
        <w:jc w:val="center"/>
        <w:rPr>
          <w:b/>
          <w:bCs/>
        </w:rPr>
      </w:pPr>
      <w:r w:rsidRPr="00ED1B4C">
        <w:rPr>
          <w:b/>
          <w:bCs/>
        </w:rPr>
        <w:t>TRAC Intermodal LLC</w:t>
      </w:r>
    </w:p>
    <w:p w:rsidR="00941815" w:rsidRPr="00ED1B4C" w:rsidRDefault="00941815" w:rsidP="00941815">
      <w:pPr>
        <w:widowControl/>
        <w:tabs>
          <w:tab w:val="center" w:pos="5400"/>
        </w:tabs>
        <w:suppressAutoHyphens/>
        <w:jc w:val="center"/>
        <w:rPr>
          <w:b/>
          <w:bCs/>
        </w:rPr>
      </w:pPr>
      <w:r w:rsidRPr="00ED1B4C">
        <w:rPr>
          <w:b/>
          <w:bCs/>
        </w:rPr>
        <w:t>Condensed Consolidating Balance Sheet</w:t>
      </w:r>
    </w:p>
    <w:p w:rsidR="00941815" w:rsidRPr="00ED1B4C" w:rsidRDefault="00ED1B4C" w:rsidP="00941815">
      <w:pPr>
        <w:widowControl/>
        <w:tabs>
          <w:tab w:val="center" w:pos="5400"/>
        </w:tabs>
        <w:suppressAutoHyphens/>
        <w:spacing w:after="240"/>
        <w:jc w:val="center"/>
        <w:rPr>
          <w:b/>
          <w:bCs/>
        </w:rPr>
      </w:pPr>
      <w:r w:rsidRPr="00ED1B4C">
        <w:rPr>
          <w:b/>
          <w:bCs/>
        </w:rPr>
        <w:t>March</w:t>
      </w:r>
      <w:r w:rsidR="00941815" w:rsidRPr="00ED1B4C">
        <w:rPr>
          <w:b/>
          <w:bCs/>
        </w:rPr>
        <w:t> 3</w:t>
      </w:r>
      <w:r>
        <w:rPr>
          <w:b/>
          <w:bCs/>
        </w:rPr>
        <w:t>1</w:t>
      </w:r>
      <w:r w:rsidR="00941815" w:rsidRPr="00ED1B4C">
        <w:rPr>
          <w:b/>
          <w:bCs/>
        </w:rPr>
        <w:t>, 201</w:t>
      </w:r>
      <w:r>
        <w:rPr>
          <w:b/>
          <w:bCs/>
        </w:rPr>
        <w:t>4</w:t>
      </w:r>
    </w:p>
    <w:p w:rsidR="003C20D1" w:rsidRPr="0053635E" w:rsidRDefault="003C20D1" w:rsidP="00941815">
      <w:pPr>
        <w:keepNext/>
        <w:keepLines/>
        <w:widowControl/>
        <w:tabs>
          <w:tab w:val="left" w:pos="720"/>
          <w:tab w:val="left" w:pos="1440"/>
          <w:tab w:val="center" w:pos="5400"/>
        </w:tabs>
        <w:suppressAutoHyphens/>
        <w:rPr>
          <w:b/>
          <w:bCs/>
          <w:highlight w:val="yellow"/>
        </w:rPr>
      </w:pPr>
    </w:p>
    <w:tbl>
      <w:tblPr>
        <w:tblW w:w="5021" w:type="pct"/>
        <w:jc w:val="center"/>
        <w:tblCellMar>
          <w:left w:w="72" w:type="dxa"/>
          <w:right w:w="72" w:type="dxa"/>
        </w:tblCellMar>
        <w:tblLook w:val="0000" w:firstRow="0" w:lastRow="0" w:firstColumn="0" w:lastColumn="0" w:noHBand="0" w:noVBand="0"/>
      </w:tblPr>
      <w:tblGrid>
        <w:gridCol w:w="4129"/>
        <w:gridCol w:w="1228"/>
        <w:gridCol w:w="1228"/>
        <w:gridCol w:w="1228"/>
        <w:gridCol w:w="1228"/>
        <w:gridCol w:w="1226"/>
      </w:tblGrid>
      <w:tr w:rsidR="003C20D1" w:rsidRPr="0053635E" w:rsidTr="001B21ED">
        <w:trPr>
          <w:cantSplit/>
          <w:trHeight w:val="402"/>
          <w:jc w:val="center"/>
        </w:trPr>
        <w:tc>
          <w:tcPr>
            <w:tcW w:w="2011" w:type="pct"/>
            <w:tcBorders>
              <w:top w:val="nil"/>
              <w:left w:val="nil"/>
              <w:bottom w:val="nil"/>
              <w:right w:val="nil"/>
            </w:tcBorders>
            <w:vAlign w:val="bottom"/>
          </w:tcPr>
          <w:p w:rsidR="003C20D1" w:rsidRPr="0053635E"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highlight w:val="yellow"/>
              </w:rPr>
            </w:pPr>
          </w:p>
        </w:tc>
        <w:tc>
          <w:tcPr>
            <w:tcW w:w="598" w:type="pct"/>
            <w:tcBorders>
              <w:top w:val="nil"/>
              <w:left w:val="nil"/>
              <w:bottom w:val="nil"/>
              <w:right w:val="nil"/>
            </w:tcBorders>
            <w:vAlign w:val="bottom"/>
          </w:tcPr>
          <w:p w:rsidR="003C20D1" w:rsidRPr="00C07AFB" w:rsidRDefault="00E25893" w:rsidP="003C20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C07AFB">
              <w:rPr>
                <w:b/>
                <w:bCs/>
                <w:sz w:val="16"/>
                <w:szCs w:val="18"/>
              </w:rPr>
              <w:t>Company</w:t>
            </w:r>
            <w:r w:rsidR="003C20D1" w:rsidRPr="00C07AFB">
              <w:rPr>
                <w:b/>
                <w:bCs/>
                <w:sz w:val="16"/>
                <w:szCs w:val="18"/>
              </w:rPr>
              <w:br/>
              <w:t>Parent</w:t>
            </w:r>
          </w:p>
        </w:tc>
        <w:tc>
          <w:tcPr>
            <w:tcW w:w="598" w:type="pct"/>
            <w:tcBorders>
              <w:top w:val="nil"/>
              <w:left w:val="nil"/>
              <w:bottom w:val="nil"/>
              <w:right w:val="nil"/>
            </w:tcBorders>
            <w:vAlign w:val="bottom"/>
          </w:tcPr>
          <w:p w:rsidR="003C20D1" w:rsidRPr="003E0CFF" w:rsidRDefault="003C20D1" w:rsidP="003C20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3E0CFF">
              <w:rPr>
                <w:b/>
                <w:bCs/>
                <w:sz w:val="16"/>
                <w:szCs w:val="18"/>
              </w:rPr>
              <w:t>Guarantor</w:t>
            </w:r>
            <w:r w:rsidRPr="003E0CFF">
              <w:rPr>
                <w:b/>
                <w:bCs/>
                <w:sz w:val="16"/>
                <w:szCs w:val="18"/>
              </w:rPr>
              <w:br/>
              <w:t>Subsidiaries</w:t>
            </w:r>
          </w:p>
        </w:tc>
        <w:tc>
          <w:tcPr>
            <w:tcW w:w="598" w:type="pct"/>
            <w:tcBorders>
              <w:top w:val="nil"/>
              <w:left w:val="nil"/>
              <w:bottom w:val="nil"/>
              <w:right w:val="nil"/>
            </w:tcBorders>
            <w:vAlign w:val="bottom"/>
          </w:tcPr>
          <w:p w:rsidR="003C20D1" w:rsidRPr="00244F1B" w:rsidRDefault="003C20D1" w:rsidP="003C20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244F1B">
              <w:rPr>
                <w:b/>
                <w:bCs/>
                <w:sz w:val="16"/>
                <w:szCs w:val="18"/>
              </w:rPr>
              <w:t>Non-Guarantor</w:t>
            </w:r>
            <w:r w:rsidRPr="00244F1B">
              <w:rPr>
                <w:b/>
                <w:bCs/>
                <w:sz w:val="16"/>
                <w:szCs w:val="18"/>
              </w:rPr>
              <w:br/>
              <w:t>Subsidiaries</w:t>
            </w:r>
          </w:p>
        </w:tc>
        <w:tc>
          <w:tcPr>
            <w:tcW w:w="598" w:type="pct"/>
            <w:tcBorders>
              <w:top w:val="nil"/>
              <w:left w:val="nil"/>
              <w:bottom w:val="nil"/>
              <w:right w:val="nil"/>
            </w:tcBorders>
            <w:vAlign w:val="bottom"/>
          </w:tcPr>
          <w:p w:rsidR="003C20D1" w:rsidRPr="001B5A17" w:rsidRDefault="003C20D1" w:rsidP="003C20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1B5A17">
              <w:rPr>
                <w:b/>
                <w:bCs/>
                <w:sz w:val="16"/>
                <w:szCs w:val="18"/>
              </w:rPr>
              <w:t>Eliminations</w:t>
            </w:r>
          </w:p>
        </w:tc>
        <w:tc>
          <w:tcPr>
            <w:tcW w:w="597" w:type="pct"/>
            <w:tcBorders>
              <w:top w:val="nil"/>
              <w:left w:val="nil"/>
              <w:bottom w:val="nil"/>
              <w:right w:val="nil"/>
            </w:tcBorders>
            <w:vAlign w:val="bottom"/>
          </w:tcPr>
          <w:p w:rsidR="003C20D1" w:rsidRPr="00E22334" w:rsidRDefault="003C20D1" w:rsidP="003C20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22334">
              <w:rPr>
                <w:b/>
                <w:bCs/>
                <w:sz w:val="16"/>
                <w:szCs w:val="18"/>
              </w:rPr>
              <w:t>Consolidated</w:t>
            </w:r>
          </w:p>
        </w:tc>
      </w:tr>
      <w:tr w:rsidR="003C20D1" w:rsidRPr="0053635E" w:rsidTr="001B21ED">
        <w:trPr>
          <w:cantSplit/>
          <w:trHeight w:val="232"/>
          <w:jc w:val="center"/>
        </w:trPr>
        <w:tc>
          <w:tcPr>
            <w:tcW w:w="2011" w:type="pct"/>
            <w:tcBorders>
              <w:top w:val="nil"/>
              <w:left w:val="nil"/>
              <w:bottom w:val="nil"/>
              <w:right w:val="nil"/>
            </w:tcBorders>
          </w:tcPr>
          <w:p w:rsidR="003C20D1" w:rsidRPr="00ED1B4C"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ED1B4C">
              <w:rPr>
                <w:b/>
                <w:bCs/>
              </w:rPr>
              <w:t>Assets</w:t>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98" w:type="pct"/>
            <w:tcBorders>
              <w:top w:val="nil"/>
              <w:left w:val="nil"/>
              <w:bottom w:val="nil"/>
              <w:right w:val="nil"/>
            </w:tcBorders>
            <w:vAlign w:val="bottom"/>
          </w:tcPr>
          <w:p w:rsidR="003C20D1" w:rsidRPr="003E0CFF"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98" w:type="pct"/>
            <w:tcBorders>
              <w:top w:val="nil"/>
              <w:left w:val="nil"/>
              <w:bottom w:val="nil"/>
              <w:right w:val="nil"/>
            </w:tcBorders>
            <w:vAlign w:val="bottom"/>
          </w:tcPr>
          <w:p w:rsidR="003C20D1" w:rsidRPr="00244F1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98" w:type="pct"/>
            <w:tcBorders>
              <w:top w:val="nil"/>
              <w:left w:val="nil"/>
              <w:bottom w:val="nil"/>
              <w:right w:val="nil"/>
            </w:tcBorders>
            <w:vAlign w:val="bottom"/>
          </w:tcPr>
          <w:p w:rsidR="003C20D1" w:rsidRPr="001B5A17"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97" w:type="pct"/>
            <w:tcBorders>
              <w:top w:val="nil"/>
              <w:left w:val="nil"/>
              <w:bottom w:val="nil"/>
              <w:right w:val="nil"/>
            </w:tcBorders>
            <w:vAlign w:val="bottom"/>
          </w:tcPr>
          <w:p w:rsidR="003C20D1" w:rsidRPr="00E22334"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3C20D1" w:rsidRPr="0053635E" w:rsidTr="00FA139D">
        <w:trPr>
          <w:cantSplit/>
          <w:trHeight w:val="247"/>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Cash and cash equivalents</w:t>
            </w:r>
            <w:r w:rsidRPr="00ED1B4C">
              <w:tab/>
            </w:r>
          </w:p>
        </w:tc>
        <w:tc>
          <w:tcPr>
            <w:tcW w:w="598" w:type="pct"/>
            <w:tcBorders>
              <w:top w:val="nil"/>
              <w:left w:val="nil"/>
              <w:bottom w:val="nil"/>
              <w:right w:val="nil"/>
            </w:tcBorders>
            <w:vAlign w:val="bottom"/>
          </w:tcPr>
          <w:p w:rsidR="003C20D1" w:rsidRPr="00C07AFB" w:rsidRDefault="003C20D1" w:rsidP="00033CA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r w:rsidR="000B08F4" w:rsidRPr="00C07AFB">
              <w:t xml:space="preserve">  </w:t>
            </w:r>
            <w:r w:rsidR="00033CA5" w:rsidRPr="00C07AFB">
              <w:t xml:space="preserve"> </w:t>
            </w:r>
            <w:r w:rsidR="000B08F4" w:rsidRPr="00C07AFB">
              <w:t xml:space="preserve">            </w:t>
            </w:r>
            <w:r w:rsidRPr="00C07AFB">
              <w:t>—</w:t>
            </w:r>
          </w:p>
        </w:tc>
        <w:tc>
          <w:tcPr>
            <w:tcW w:w="598" w:type="pct"/>
            <w:tcBorders>
              <w:top w:val="nil"/>
              <w:left w:val="nil"/>
              <w:bottom w:val="nil"/>
              <w:right w:val="nil"/>
            </w:tcBorders>
            <w:vAlign w:val="bottom"/>
          </w:tcPr>
          <w:p w:rsidR="003C20D1" w:rsidRPr="003E0CFF" w:rsidRDefault="003C20D1" w:rsidP="00C07A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w:t>
            </w:r>
            <w:r w:rsidR="000B08F4" w:rsidRPr="003E0CFF">
              <w:t xml:space="preserve">  </w:t>
            </w:r>
            <w:r w:rsidR="00033CA5" w:rsidRPr="003E0CFF">
              <w:t xml:space="preserve">   </w:t>
            </w:r>
            <w:r w:rsidR="000B08F4" w:rsidRPr="003E0CFF">
              <w:t xml:space="preserve">     </w:t>
            </w:r>
            <w:r w:rsidR="00C07AFB" w:rsidRPr="003E0CFF">
              <w:t>4</w:t>
            </w:r>
            <w:r w:rsidRPr="003E0CFF">
              <w:t>,</w:t>
            </w:r>
            <w:r w:rsidR="00C07AFB" w:rsidRPr="003E0CFF">
              <w:t>802</w:t>
            </w:r>
          </w:p>
        </w:tc>
        <w:tc>
          <w:tcPr>
            <w:tcW w:w="598" w:type="pct"/>
            <w:tcBorders>
              <w:top w:val="nil"/>
              <w:left w:val="nil"/>
              <w:bottom w:val="nil"/>
              <w:right w:val="nil"/>
            </w:tcBorders>
            <w:vAlign w:val="bottom"/>
          </w:tcPr>
          <w:p w:rsidR="003C20D1" w:rsidRPr="00244F1B" w:rsidRDefault="003C20D1" w:rsidP="00244F1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w:t>
            </w:r>
            <w:r w:rsidR="000B08F4" w:rsidRPr="00244F1B">
              <w:t xml:space="preserve">    </w:t>
            </w:r>
            <w:r w:rsidR="00033CA5" w:rsidRPr="00244F1B">
              <w:t xml:space="preserve"> </w:t>
            </w:r>
            <w:r w:rsidR="000B08F4" w:rsidRPr="00244F1B">
              <w:t xml:space="preserve">     </w:t>
            </w:r>
            <w:r w:rsidR="00244F1B" w:rsidRPr="00244F1B">
              <w:t>1,313</w:t>
            </w:r>
          </w:p>
        </w:tc>
        <w:tc>
          <w:tcPr>
            <w:tcW w:w="598" w:type="pct"/>
            <w:tcBorders>
              <w:top w:val="nil"/>
              <w:left w:val="nil"/>
              <w:bottom w:val="nil"/>
              <w:right w:val="nil"/>
            </w:tcBorders>
            <w:shd w:val="clear" w:color="auto" w:fill="auto"/>
            <w:vAlign w:val="bottom"/>
          </w:tcPr>
          <w:p w:rsidR="003C20D1" w:rsidRPr="001B5A17" w:rsidRDefault="000B08F4" w:rsidP="00033CA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B5A17">
              <w:t xml:space="preserve"> </w:t>
            </w:r>
            <w:r w:rsidR="003C20D1" w:rsidRPr="001B5A17">
              <w:t>$</w:t>
            </w:r>
            <w:r w:rsidRPr="001B5A17">
              <w:t xml:space="preserve">    </w:t>
            </w:r>
            <w:r w:rsidR="00033CA5" w:rsidRPr="001B5A17">
              <w:t xml:space="preserve"> </w:t>
            </w:r>
            <w:r w:rsidRPr="001B5A17">
              <w:t xml:space="preserve">         </w:t>
            </w:r>
            <w:r w:rsidR="003C20D1" w:rsidRPr="001B5A17">
              <w:t>—</w:t>
            </w:r>
          </w:p>
        </w:tc>
        <w:tc>
          <w:tcPr>
            <w:tcW w:w="597" w:type="pct"/>
            <w:tcBorders>
              <w:top w:val="nil"/>
              <w:left w:val="nil"/>
              <w:bottom w:val="nil"/>
              <w:right w:val="nil"/>
            </w:tcBorders>
            <w:vAlign w:val="bottom"/>
          </w:tcPr>
          <w:p w:rsidR="003C20D1" w:rsidRPr="00E22334" w:rsidRDefault="003C20D1" w:rsidP="00E223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334">
              <w:t>$</w:t>
            </w:r>
            <w:r w:rsidR="000B08F4" w:rsidRPr="00E22334">
              <w:t xml:space="preserve">  </w:t>
            </w:r>
            <w:r w:rsidR="00033CA5" w:rsidRPr="00E22334">
              <w:t xml:space="preserve">   </w:t>
            </w:r>
            <w:r w:rsidR="000B08F4" w:rsidRPr="00E22334">
              <w:t xml:space="preserve">     </w:t>
            </w:r>
            <w:r w:rsidR="00E22334" w:rsidRPr="00E22334">
              <w:t>6</w:t>
            </w:r>
            <w:r w:rsidRPr="00E22334">
              <w:t>,</w:t>
            </w:r>
            <w:r w:rsidR="00E22334" w:rsidRPr="00E22334">
              <w:t>115</w:t>
            </w:r>
          </w:p>
        </w:tc>
      </w:tr>
      <w:tr w:rsidR="003C20D1" w:rsidRPr="0053635E" w:rsidTr="00FA139D">
        <w:trPr>
          <w:cantSplit/>
          <w:trHeight w:val="232"/>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Accounts receivable, net</w:t>
            </w:r>
            <w:r w:rsidRPr="00ED1B4C">
              <w:tab/>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p>
        </w:tc>
        <w:tc>
          <w:tcPr>
            <w:tcW w:w="598" w:type="pct"/>
            <w:tcBorders>
              <w:top w:val="nil"/>
              <w:left w:val="nil"/>
              <w:bottom w:val="nil"/>
              <w:right w:val="nil"/>
            </w:tcBorders>
            <w:vAlign w:val="bottom"/>
          </w:tcPr>
          <w:p w:rsidR="003C20D1" w:rsidRPr="003E0CFF" w:rsidRDefault="00893511" w:rsidP="00C07A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1</w:t>
            </w:r>
            <w:r w:rsidR="00C07AFB" w:rsidRPr="003E0CFF">
              <w:t>14</w:t>
            </w:r>
            <w:r w:rsidR="003C20D1" w:rsidRPr="003E0CFF">
              <w:t>,</w:t>
            </w:r>
            <w:r w:rsidR="00C07AFB" w:rsidRPr="003E0CFF">
              <w:t>525</w:t>
            </w:r>
          </w:p>
        </w:tc>
        <w:tc>
          <w:tcPr>
            <w:tcW w:w="598" w:type="pct"/>
            <w:tcBorders>
              <w:top w:val="nil"/>
              <w:left w:val="nil"/>
              <w:bottom w:val="nil"/>
              <w:right w:val="nil"/>
            </w:tcBorders>
            <w:vAlign w:val="bottom"/>
          </w:tcPr>
          <w:p w:rsidR="003C20D1" w:rsidRPr="00244F1B" w:rsidRDefault="00B87CCE" w:rsidP="00244F1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5</w:t>
            </w:r>
            <w:r w:rsidR="00244F1B" w:rsidRPr="00244F1B">
              <w:t>51</w:t>
            </w:r>
          </w:p>
        </w:tc>
        <w:tc>
          <w:tcPr>
            <w:tcW w:w="598" w:type="pct"/>
            <w:tcBorders>
              <w:top w:val="nil"/>
              <w:left w:val="nil"/>
              <w:bottom w:val="nil"/>
              <w:right w:val="nil"/>
            </w:tcBorders>
            <w:shd w:val="clear" w:color="auto" w:fill="auto"/>
            <w:vAlign w:val="bottom"/>
          </w:tcPr>
          <w:p w:rsidR="003C20D1" w:rsidRPr="001B5A17"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B5A17">
              <w:t>—</w:t>
            </w:r>
          </w:p>
        </w:tc>
        <w:tc>
          <w:tcPr>
            <w:tcW w:w="597" w:type="pct"/>
            <w:tcBorders>
              <w:top w:val="nil"/>
              <w:left w:val="nil"/>
              <w:bottom w:val="nil"/>
              <w:right w:val="nil"/>
            </w:tcBorders>
            <w:vAlign w:val="bottom"/>
          </w:tcPr>
          <w:p w:rsidR="003C20D1" w:rsidRPr="00E22334" w:rsidRDefault="00A465D7" w:rsidP="00E223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334">
              <w:t>1</w:t>
            </w:r>
            <w:r w:rsidR="00E22334" w:rsidRPr="00E22334">
              <w:t>15</w:t>
            </w:r>
            <w:r w:rsidRPr="00E22334">
              <w:t>,</w:t>
            </w:r>
            <w:r w:rsidR="00E22334" w:rsidRPr="00E22334">
              <w:t>076</w:t>
            </w:r>
          </w:p>
        </w:tc>
      </w:tr>
      <w:tr w:rsidR="003C20D1" w:rsidRPr="0053635E" w:rsidTr="00FA139D">
        <w:trPr>
          <w:cantSplit/>
          <w:trHeight w:val="232"/>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 xml:space="preserve">Net </w:t>
            </w:r>
            <w:r w:rsidR="00D440A8" w:rsidRPr="00ED1B4C">
              <w:t>i</w:t>
            </w:r>
            <w:r w:rsidRPr="00ED1B4C">
              <w:t>nvestment in direct finance leases</w:t>
            </w:r>
            <w:r w:rsidRPr="00ED1B4C">
              <w:tab/>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p>
        </w:tc>
        <w:tc>
          <w:tcPr>
            <w:tcW w:w="598" w:type="pct"/>
            <w:tcBorders>
              <w:top w:val="nil"/>
              <w:left w:val="nil"/>
              <w:bottom w:val="nil"/>
              <w:right w:val="nil"/>
            </w:tcBorders>
            <w:vAlign w:val="bottom"/>
          </w:tcPr>
          <w:p w:rsidR="003C20D1" w:rsidRPr="003E0CFF" w:rsidRDefault="00893511" w:rsidP="00C07A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3</w:t>
            </w:r>
            <w:r w:rsidR="00C07AFB" w:rsidRPr="003E0CFF">
              <w:t>1</w:t>
            </w:r>
            <w:r w:rsidR="003C20D1" w:rsidRPr="003E0CFF">
              <w:t>,</w:t>
            </w:r>
            <w:r w:rsidR="00C07AFB" w:rsidRPr="003E0CFF">
              <w:t>578</w:t>
            </w:r>
          </w:p>
        </w:tc>
        <w:tc>
          <w:tcPr>
            <w:tcW w:w="598" w:type="pct"/>
            <w:tcBorders>
              <w:top w:val="nil"/>
              <w:left w:val="nil"/>
              <w:bottom w:val="nil"/>
              <w:right w:val="nil"/>
            </w:tcBorders>
            <w:vAlign w:val="bottom"/>
          </w:tcPr>
          <w:p w:rsidR="003C20D1" w:rsidRPr="00244F1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w:t>
            </w:r>
          </w:p>
        </w:tc>
        <w:tc>
          <w:tcPr>
            <w:tcW w:w="598" w:type="pct"/>
            <w:tcBorders>
              <w:top w:val="nil"/>
              <w:left w:val="nil"/>
              <w:bottom w:val="nil"/>
              <w:right w:val="nil"/>
            </w:tcBorders>
            <w:shd w:val="clear" w:color="auto" w:fill="auto"/>
            <w:vAlign w:val="bottom"/>
          </w:tcPr>
          <w:p w:rsidR="003C20D1" w:rsidRPr="001B5A17" w:rsidRDefault="003C20D1" w:rsidP="001B5A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B5A17">
              <w:t>(</w:t>
            </w:r>
            <w:r w:rsidR="001B5A17" w:rsidRPr="001B5A17">
              <w:t>9</w:t>
            </w:r>
            <w:r w:rsidRPr="001B5A17">
              <w:t>,</w:t>
            </w:r>
            <w:r w:rsidR="001B5A17" w:rsidRPr="001B5A17">
              <w:t>910</w:t>
            </w:r>
            <w:r w:rsidRPr="001B5A17">
              <w:t>)</w:t>
            </w:r>
          </w:p>
        </w:tc>
        <w:tc>
          <w:tcPr>
            <w:tcW w:w="597" w:type="pct"/>
            <w:tcBorders>
              <w:top w:val="nil"/>
              <w:left w:val="nil"/>
              <w:bottom w:val="nil"/>
              <w:right w:val="nil"/>
            </w:tcBorders>
            <w:vAlign w:val="bottom"/>
          </w:tcPr>
          <w:p w:rsidR="003C20D1" w:rsidRPr="00E22334" w:rsidRDefault="00A465D7" w:rsidP="00E223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334">
              <w:t>2</w:t>
            </w:r>
            <w:r w:rsidR="00E22334" w:rsidRPr="00E22334">
              <w:t>1</w:t>
            </w:r>
            <w:r w:rsidR="003C20D1" w:rsidRPr="00E22334">
              <w:t>,</w:t>
            </w:r>
            <w:r w:rsidR="00E22334" w:rsidRPr="00E22334">
              <w:t>668</w:t>
            </w:r>
          </w:p>
        </w:tc>
      </w:tr>
      <w:tr w:rsidR="003C20D1" w:rsidRPr="0053635E" w:rsidTr="00FA139D">
        <w:trPr>
          <w:cantSplit/>
          <w:trHeight w:val="479"/>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 xml:space="preserve">Leasing </w:t>
            </w:r>
            <w:r w:rsidR="00D440A8" w:rsidRPr="00ED1B4C">
              <w:t>e</w:t>
            </w:r>
            <w:r w:rsidRPr="00ED1B4C">
              <w:t>quipment, net of accumulated depreciation</w:t>
            </w:r>
            <w:r w:rsidRPr="00ED1B4C">
              <w:tab/>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p>
        </w:tc>
        <w:tc>
          <w:tcPr>
            <w:tcW w:w="598" w:type="pct"/>
            <w:tcBorders>
              <w:top w:val="nil"/>
              <w:left w:val="nil"/>
              <w:bottom w:val="nil"/>
              <w:right w:val="nil"/>
            </w:tcBorders>
            <w:vAlign w:val="bottom"/>
          </w:tcPr>
          <w:p w:rsidR="003C20D1" w:rsidRPr="003E0CFF" w:rsidRDefault="003C20D1" w:rsidP="00C07A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1,3</w:t>
            </w:r>
            <w:r w:rsidR="00C07AFB" w:rsidRPr="003E0CFF">
              <w:t>73</w:t>
            </w:r>
            <w:r w:rsidRPr="003E0CFF">
              <w:t>,</w:t>
            </w:r>
            <w:r w:rsidR="00C07AFB" w:rsidRPr="003E0CFF">
              <w:t>802</w:t>
            </w:r>
          </w:p>
        </w:tc>
        <w:tc>
          <w:tcPr>
            <w:tcW w:w="598" w:type="pct"/>
            <w:tcBorders>
              <w:top w:val="nil"/>
              <w:left w:val="nil"/>
              <w:bottom w:val="nil"/>
              <w:right w:val="nil"/>
            </w:tcBorders>
            <w:vAlign w:val="bottom"/>
          </w:tcPr>
          <w:p w:rsidR="003C20D1" w:rsidRPr="00244F1B" w:rsidRDefault="003C20D1" w:rsidP="00244F1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1</w:t>
            </w:r>
            <w:r w:rsidR="00D778F4" w:rsidRPr="00244F1B">
              <w:t>3</w:t>
            </w:r>
            <w:r w:rsidRPr="00244F1B">
              <w:t>,</w:t>
            </w:r>
            <w:r w:rsidR="00244F1B" w:rsidRPr="00244F1B">
              <w:t>236</w:t>
            </w:r>
          </w:p>
        </w:tc>
        <w:tc>
          <w:tcPr>
            <w:tcW w:w="598" w:type="pct"/>
            <w:tcBorders>
              <w:top w:val="nil"/>
              <w:left w:val="nil"/>
              <w:bottom w:val="nil"/>
              <w:right w:val="nil"/>
            </w:tcBorders>
            <w:shd w:val="clear" w:color="auto" w:fill="auto"/>
            <w:vAlign w:val="bottom"/>
          </w:tcPr>
          <w:p w:rsidR="003C20D1" w:rsidRPr="001B5A17"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B5A17">
              <w:t>—</w:t>
            </w:r>
          </w:p>
        </w:tc>
        <w:tc>
          <w:tcPr>
            <w:tcW w:w="597" w:type="pct"/>
            <w:tcBorders>
              <w:top w:val="nil"/>
              <w:left w:val="nil"/>
              <w:bottom w:val="nil"/>
              <w:right w:val="nil"/>
            </w:tcBorders>
            <w:vAlign w:val="bottom"/>
          </w:tcPr>
          <w:p w:rsidR="003C20D1" w:rsidRPr="00E22334" w:rsidRDefault="003C20D1" w:rsidP="00E223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334">
              <w:t>1,</w:t>
            </w:r>
            <w:r w:rsidR="00E22334" w:rsidRPr="00E22334">
              <w:t>387</w:t>
            </w:r>
            <w:r w:rsidRPr="00E22334">
              <w:t>,</w:t>
            </w:r>
            <w:r w:rsidR="00E22334" w:rsidRPr="00E22334">
              <w:t>038</w:t>
            </w:r>
          </w:p>
        </w:tc>
      </w:tr>
      <w:tr w:rsidR="003C20D1" w:rsidRPr="0053635E" w:rsidTr="00FA139D">
        <w:trPr>
          <w:cantSplit/>
          <w:trHeight w:val="232"/>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Goodwill</w:t>
            </w:r>
            <w:r w:rsidRPr="00ED1B4C">
              <w:tab/>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p>
        </w:tc>
        <w:tc>
          <w:tcPr>
            <w:tcW w:w="598" w:type="pct"/>
            <w:tcBorders>
              <w:top w:val="nil"/>
              <w:left w:val="nil"/>
              <w:bottom w:val="nil"/>
              <w:right w:val="nil"/>
            </w:tcBorders>
            <w:vAlign w:val="bottom"/>
          </w:tcPr>
          <w:p w:rsidR="003C20D1" w:rsidRPr="003E0CFF"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251,907</w:t>
            </w:r>
          </w:p>
        </w:tc>
        <w:tc>
          <w:tcPr>
            <w:tcW w:w="598" w:type="pct"/>
            <w:tcBorders>
              <w:top w:val="nil"/>
              <w:left w:val="nil"/>
              <w:bottom w:val="nil"/>
              <w:right w:val="nil"/>
            </w:tcBorders>
            <w:vAlign w:val="bottom"/>
          </w:tcPr>
          <w:p w:rsidR="003C20D1" w:rsidRPr="00244F1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w:t>
            </w:r>
          </w:p>
        </w:tc>
        <w:tc>
          <w:tcPr>
            <w:tcW w:w="598" w:type="pct"/>
            <w:tcBorders>
              <w:top w:val="nil"/>
              <w:left w:val="nil"/>
              <w:bottom w:val="nil"/>
              <w:right w:val="nil"/>
            </w:tcBorders>
            <w:shd w:val="clear" w:color="auto" w:fill="auto"/>
            <w:vAlign w:val="bottom"/>
          </w:tcPr>
          <w:p w:rsidR="003C20D1" w:rsidRPr="001B5A17"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B5A17">
              <w:t>—</w:t>
            </w:r>
          </w:p>
        </w:tc>
        <w:tc>
          <w:tcPr>
            <w:tcW w:w="597" w:type="pct"/>
            <w:tcBorders>
              <w:top w:val="nil"/>
              <w:left w:val="nil"/>
              <w:bottom w:val="nil"/>
              <w:right w:val="nil"/>
            </w:tcBorders>
            <w:vAlign w:val="bottom"/>
          </w:tcPr>
          <w:p w:rsidR="003C20D1" w:rsidRPr="00E22334"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334">
              <w:t>251,907</w:t>
            </w:r>
          </w:p>
        </w:tc>
      </w:tr>
      <w:tr w:rsidR="007B1C89" w:rsidRPr="0053635E" w:rsidTr="00FA139D">
        <w:trPr>
          <w:cantSplit/>
          <w:trHeight w:val="247"/>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Affiliate and intercompany receivable</w:t>
            </w:r>
            <w:r w:rsidRPr="00ED1B4C">
              <w:tab/>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p>
        </w:tc>
        <w:tc>
          <w:tcPr>
            <w:tcW w:w="598" w:type="pct"/>
            <w:tcBorders>
              <w:top w:val="nil"/>
              <w:left w:val="nil"/>
              <w:bottom w:val="nil"/>
              <w:right w:val="nil"/>
            </w:tcBorders>
            <w:vAlign w:val="bottom"/>
          </w:tcPr>
          <w:p w:rsidR="003C20D1" w:rsidRPr="003E0CFF" w:rsidRDefault="003E0CFF" w:rsidP="003E0C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1</w:t>
            </w:r>
            <w:r w:rsidR="003C20D1" w:rsidRPr="003E0CFF">
              <w:t>,</w:t>
            </w:r>
            <w:r w:rsidRPr="003E0CFF">
              <w:t>845</w:t>
            </w:r>
          </w:p>
        </w:tc>
        <w:tc>
          <w:tcPr>
            <w:tcW w:w="598" w:type="pct"/>
            <w:tcBorders>
              <w:top w:val="nil"/>
              <w:left w:val="nil"/>
              <w:bottom w:val="nil"/>
              <w:right w:val="nil"/>
            </w:tcBorders>
            <w:vAlign w:val="bottom"/>
          </w:tcPr>
          <w:p w:rsidR="003C20D1" w:rsidRPr="00244F1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w:t>
            </w:r>
          </w:p>
        </w:tc>
        <w:tc>
          <w:tcPr>
            <w:tcW w:w="598" w:type="pct"/>
            <w:tcBorders>
              <w:top w:val="nil"/>
              <w:left w:val="nil"/>
              <w:bottom w:val="nil"/>
              <w:right w:val="nil"/>
            </w:tcBorders>
            <w:shd w:val="clear" w:color="auto" w:fill="auto"/>
            <w:vAlign w:val="bottom"/>
          </w:tcPr>
          <w:p w:rsidR="003C20D1" w:rsidRPr="001B5A17" w:rsidRDefault="003C20D1" w:rsidP="003E0C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B5A17">
              <w:t>(</w:t>
            </w:r>
            <w:r w:rsidR="003E0CFF" w:rsidRPr="001B5A17">
              <w:t>166</w:t>
            </w:r>
            <w:r w:rsidRPr="001B5A17">
              <w:t>)</w:t>
            </w:r>
          </w:p>
        </w:tc>
        <w:tc>
          <w:tcPr>
            <w:tcW w:w="597" w:type="pct"/>
            <w:tcBorders>
              <w:top w:val="nil"/>
              <w:left w:val="nil"/>
              <w:bottom w:val="nil"/>
              <w:right w:val="nil"/>
            </w:tcBorders>
            <w:vAlign w:val="bottom"/>
          </w:tcPr>
          <w:p w:rsidR="003C20D1" w:rsidRPr="003E0CFF" w:rsidRDefault="003C20D1" w:rsidP="00E223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1,</w:t>
            </w:r>
            <w:r w:rsidR="00E22334" w:rsidRPr="003E0CFF">
              <w:t>679</w:t>
            </w:r>
          </w:p>
        </w:tc>
      </w:tr>
      <w:tr w:rsidR="003C20D1" w:rsidRPr="0053635E" w:rsidTr="00FA139D">
        <w:trPr>
          <w:cantSplit/>
          <w:trHeight w:val="232"/>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Intercompany interest receivable</w:t>
            </w:r>
            <w:r w:rsidRPr="00ED1B4C">
              <w:tab/>
            </w:r>
          </w:p>
        </w:tc>
        <w:tc>
          <w:tcPr>
            <w:tcW w:w="598" w:type="pct"/>
            <w:tcBorders>
              <w:top w:val="nil"/>
              <w:left w:val="nil"/>
              <w:bottom w:val="nil"/>
              <w:right w:val="nil"/>
            </w:tcBorders>
            <w:vAlign w:val="bottom"/>
          </w:tcPr>
          <w:p w:rsidR="003C20D1" w:rsidRPr="00C07AFB" w:rsidRDefault="00893511" w:rsidP="0089351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4</w:t>
            </w:r>
            <w:r w:rsidR="003C20D1" w:rsidRPr="00C07AFB">
              <w:t>,</w:t>
            </w:r>
            <w:r w:rsidRPr="00C07AFB">
              <w:t>217</w:t>
            </w:r>
          </w:p>
        </w:tc>
        <w:tc>
          <w:tcPr>
            <w:tcW w:w="598" w:type="pct"/>
            <w:tcBorders>
              <w:top w:val="nil"/>
              <w:left w:val="nil"/>
              <w:bottom w:val="nil"/>
              <w:right w:val="nil"/>
            </w:tcBorders>
            <w:vAlign w:val="bottom"/>
          </w:tcPr>
          <w:p w:rsidR="003C20D1" w:rsidRPr="003E0CFF"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w:t>
            </w:r>
          </w:p>
        </w:tc>
        <w:tc>
          <w:tcPr>
            <w:tcW w:w="598" w:type="pct"/>
            <w:tcBorders>
              <w:top w:val="nil"/>
              <w:left w:val="nil"/>
              <w:bottom w:val="nil"/>
              <w:right w:val="nil"/>
            </w:tcBorders>
            <w:vAlign w:val="bottom"/>
          </w:tcPr>
          <w:p w:rsidR="003C20D1" w:rsidRPr="00244F1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w:t>
            </w:r>
          </w:p>
        </w:tc>
        <w:tc>
          <w:tcPr>
            <w:tcW w:w="598" w:type="pct"/>
            <w:tcBorders>
              <w:top w:val="nil"/>
              <w:left w:val="nil"/>
              <w:bottom w:val="nil"/>
              <w:right w:val="nil"/>
            </w:tcBorders>
            <w:shd w:val="clear" w:color="auto" w:fill="auto"/>
            <w:vAlign w:val="bottom"/>
          </w:tcPr>
          <w:p w:rsidR="003C20D1" w:rsidRPr="001B5A17" w:rsidRDefault="003C20D1" w:rsidP="007B1C8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B5A17">
              <w:t>(</w:t>
            </w:r>
            <w:r w:rsidR="007B1C89" w:rsidRPr="001B5A17">
              <w:t>4</w:t>
            </w:r>
            <w:r w:rsidRPr="001B5A17">
              <w:t>,</w:t>
            </w:r>
            <w:r w:rsidR="007B1C89" w:rsidRPr="001B5A17">
              <w:t>217</w:t>
            </w:r>
            <w:r w:rsidRPr="001B5A17">
              <w:t>)</w:t>
            </w:r>
          </w:p>
        </w:tc>
        <w:tc>
          <w:tcPr>
            <w:tcW w:w="597" w:type="pct"/>
            <w:tcBorders>
              <w:top w:val="nil"/>
              <w:left w:val="nil"/>
              <w:bottom w:val="nil"/>
              <w:right w:val="nil"/>
            </w:tcBorders>
            <w:vAlign w:val="bottom"/>
          </w:tcPr>
          <w:p w:rsidR="003C20D1" w:rsidRPr="00E22334"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334">
              <w:t>—</w:t>
            </w:r>
          </w:p>
        </w:tc>
      </w:tr>
      <w:tr w:rsidR="003C20D1" w:rsidRPr="0053635E" w:rsidTr="00FA139D">
        <w:trPr>
          <w:cantSplit/>
          <w:trHeight w:val="232"/>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Intercompany note receivable</w:t>
            </w:r>
            <w:r w:rsidRPr="00ED1B4C">
              <w:tab/>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300,000</w:t>
            </w:r>
          </w:p>
        </w:tc>
        <w:tc>
          <w:tcPr>
            <w:tcW w:w="598" w:type="pct"/>
            <w:tcBorders>
              <w:top w:val="nil"/>
              <w:left w:val="nil"/>
              <w:bottom w:val="nil"/>
              <w:right w:val="nil"/>
            </w:tcBorders>
            <w:vAlign w:val="bottom"/>
          </w:tcPr>
          <w:p w:rsidR="003C20D1" w:rsidRPr="003E0CFF"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w:t>
            </w:r>
          </w:p>
        </w:tc>
        <w:tc>
          <w:tcPr>
            <w:tcW w:w="598" w:type="pct"/>
            <w:tcBorders>
              <w:top w:val="nil"/>
              <w:left w:val="nil"/>
              <w:bottom w:val="nil"/>
              <w:right w:val="nil"/>
            </w:tcBorders>
            <w:vAlign w:val="bottom"/>
          </w:tcPr>
          <w:p w:rsidR="003C20D1" w:rsidRPr="00244F1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w:t>
            </w:r>
          </w:p>
        </w:tc>
        <w:tc>
          <w:tcPr>
            <w:tcW w:w="598" w:type="pct"/>
            <w:tcBorders>
              <w:top w:val="nil"/>
              <w:left w:val="nil"/>
              <w:bottom w:val="nil"/>
              <w:right w:val="nil"/>
            </w:tcBorders>
            <w:shd w:val="clear" w:color="auto" w:fill="auto"/>
            <w:vAlign w:val="bottom"/>
          </w:tcPr>
          <w:p w:rsidR="003C20D1" w:rsidRPr="001B5A17"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B5A17">
              <w:t>(300,000)</w:t>
            </w:r>
          </w:p>
        </w:tc>
        <w:tc>
          <w:tcPr>
            <w:tcW w:w="597" w:type="pct"/>
            <w:tcBorders>
              <w:top w:val="nil"/>
              <w:left w:val="nil"/>
              <w:bottom w:val="nil"/>
              <w:right w:val="nil"/>
            </w:tcBorders>
            <w:vAlign w:val="bottom"/>
          </w:tcPr>
          <w:p w:rsidR="003C20D1" w:rsidRPr="00E22334"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334">
              <w:t>—</w:t>
            </w:r>
          </w:p>
        </w:tc>
      </w:tr>
      <w:tr w:rsidR="003C20D1" w:rsidRPr="0053635E" w:rsidTr="00FA139D">
        <w:trPr>
          <w:cantSplit/>
          <w:trHeight w:val="247"/>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Investment in subsidiary</w:t>
            </w:r>
            <w:r w:rsidRPr="00ED1B4C">
              <w:tab/>
            </w:r>
          </w:p>
        </w:tc>
        <w:tc>
          <w:tcPr>
            <w:tcW w:w="598" w:type="pct"/>
            <w:tcBorders>
              <w:top w:val="nil"/>
              <w:left w:val="nil"/>
              <w:bottom w:val="nil"/>
              <w:right w:val="nil"/>
            </w:tcBorders>
            <w:vAlign w:val="bottom"/>
          </w:tcPr>
          <w:p w:rsidR="003C20D1" w:rsidRPr="00C07AFB" w:rsidRDefault="00704A01" w:rsidP="00C07A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5</w:t>
            </w:r>
            <w:r w:rsidR="00C07AFB" w:rsidRPr="00C07AFB">
              <w:t>3</w:t>
            </w:r>
            <w:r w:rsidRPr="00C07AFB">
              <w:t>1,</w:t>
            </w:r>
            <w:r w:rsidR="00C07AFB" w:rsidRPr="00C07AFB">
              <w:t>217</w:t>
            </w:r>
          </w:p>
        </w:tc>
        <w:tc>
          <w:tcPr>
            <w:tcW w:w="598" w:type="pct"/>
            <w:tcBorders>
              <w:top w:val="nil"/>
              <w:left w:val="nil"/>
              <w:bottom w:val="nil"/>
              <w:right w:val="nil"/>
            </w:tcBorders>
            <w:vAlign w:val="bottom"/>
          </w:tcPr>
          <w:p w:rsidR="003C20D1" w:rsidRPr="003E0CFF" w:rsidRDefault="00893511" w:rsidP="003E0C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3</w:t>
            </w:r>
            <w:r w:rsidR="003C20D1" w:rsidRPr="003E0CFF">
              <w:t>,</w:t>
            </w:r>
            <w:r w:rsidR="003E0CFF" w:rsidRPr="003E0CFF">
              <w:t>354</w:t>
            </w:r>
          </w:p>
        </w:tc>
        <w:tc>
          <w:tcPr>
            <w:tcW w:w="598" w:type="pct"/>
            <w:tcBorders>
              <w:top w:val="nil"/>
              <w:left w:val="nil"/>
              <w:bottom w:val="nil"/>
              <w:right w:val="nil"/>
            </w:tcBorders>
            <w:vAlign w:val="bottom"/>
          </w:tcPr>
          <w:p w:rsidR="003C20D1" w:rsidRPr="00244F1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w:t>
            </w:r>
          </w:p>
        </w:tc>
        <w:tc>
          <w:tcPr>
            <w:tcW w:w="598" w:type="pct"/>
            <w:tcBorders>
              <w:top w:val="nil"/>
              <w:left w:val="nil"/>
              <w:bottom w:val="nil"/>
              <w:right w:val="nil"/>
            </w:tcBorders>
            <w:shd w:val="clear" w:color="auto" w:fill="auto"/>
            <w:vAlign w:val="bottom"/>
          </w:tcPr>
          <w:p w:rsidR="003C20D1" w:rsidRPr="001B5A17" w:rsidRDefault="003C20D1" w:rsidP="001B5A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B5A17">
              <w:t>(</w:t>
            </w:r>
            <w:r w:rsidR="00704A01" w:rsidRPr="001B5A17">
              <w:t>5</w:t>
            </w:r>
            <w:r w:rsidR="001B5A17" w:rsidRPr="001B5A17">
              <w:t>3</w:t>
            </w:r>
            <w:r w:rsidR="00704A01" w:rsidRPr="001B5A17">
              <w:t>4,</w:t>
            </w:r>
            <w:r w:rsidR="001B5A17" w:rsidRPr="001B5A17">
              <w:t>571</w:t>
            </w:r>
            <w:r w:rsidRPr="001B5A17">
              <w:t>)</w:t>
            </w:r>
          </w:p>
        </w:tc>
        <w:tc>
          <w:tcPr>
            <w:tcW w:w="597" w:type="pct"/>
            <w:tcBorders>
              <w:top w:val="nil"/>
              <w:left w:val="nil"/>
              <w:bottom w:val="nil"/>
              <w:right w:val="nil"/>
            </w:tcBorders>
            <w:vAlign w:val="bottom"/>
          </w:tcPr>
          <w:p w:rsidR="003C20D1" w:rsidRPr="00E22334"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334">
              <w:t>—</w:t>
            </w:r>
          </w:p>
        </w:tc>
      </w:tr>
      <w:tr w:rsidR="003C20D1" w:rsidRPr="0053635E" w:rsidTr="00FA139D">
        <w:trPr>
          <w:cantSplit/>
          <w:trHeight w:val="263"/>
          <w:jc w:val="center"/>
        </w:trPr>
        <w:tc>
          <w:tcPr>
            <w:tcW w:w="2011" w:type="pct"/>
            <w:tcBorders>
              <w:top w:val="nil"/>
              <w:left w:val="nil"/>
              <w:bottom w:val="nil"/>
              <w:right w:val="nil"/>
            </w:tcBorders>
          </w:tcPr>
          <w:p w:rsidR="003C20D1" w:rsidRPr="00ED1B4C" w:rsidRDefault="003C20D1" w:rsidP="003123B7">
            <w:pPr>
              <w:widowControl/>
              <w:suppressAutoHyphens/>
              <w:spacing w:after="20"/>
              <w:ind w:left="200" w:hanging="200"/>
            </w:pPr>
            <w:r w:rsidRPr="00ED1B4C">
              <w:t>Other assets</w:t>
            </w:r>
            <w:r w:rsidRPr="00ED1B4C">
              <w:tab/>
            </w:r>
          </w:p>
        </w:tc>
        <w:tc>
          <w:tcPr>
            <w:tcW w:w="598" w:type="pct"/>
            <w:tcBorders>
              <w:top w:val="nil"/>
              <w:left w:val="nil"/>
              <w:bottom w:val="nil"/>
              <w:right w:val="nil"/>
            </w:tcBorders>
            <w:vAlign w:val="bottom"/>
          </w:tcPr>
          <w:p w:rsidR="003C20D1" w:rsidRPr="00C07AFB" w:rsidRDefault="003C20D1" w:rsidP="003C20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C07AFB">
              <w:t>—</w:t>
            </w:r>
          </w:p>
        </w:tc>
        <w:tc>
          <w:tcPr>
            <w:tcW w:w="598" w:type="pct"/>
            <w:tcBorders>
              <w:top w:val="nil"/>
              <w:left w:val="nil"/>
              <w:bottom w:val="nil"/>
              <w:right w:val="nil"/>
            </w:tcBorders>
            <w:vAlign w:val="bottom"/>
          </w:tcPr>
          <w:p w:rsidR="003C20D1" w:rsidRPr="003E0CFF" w:rsidRDefault="003C20D1" w:rsidP="003E0CF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E0CFF">
              <w:t>4</w:t>
            </w:r>
            <w:r w:rsidR="003E0CFF" w:rsidRPr="003E0CFF">
              <w:t>4</w:t>
            </w:r>
            <w:r w:rsidRPr="003E0CFF">
              <w:t>,</w:t>
            </w:r>
            <w:r w:rsidR="003E0CFF" w:rsidRPr="003E0CFF">
              <w:t>497</w:t>
            </w:r>
          </w:p>
        </w:tc>
        <w:tc>
          <w:tcPr>
            <w:tcW w:w="598" w:type="pct"/>
            <w:tcBorders>
              <w:top w:val="nil"/>
              <w:left w:val="nil"/>
              <w:bottom w:val="nil"/>
              <w:right w:val="nil"/>
            </w:tcBorders>
            <w:vAlign w:val="bottom"/>
          </w:tcPr>
          <w:p w:rsidR="003C20D1" w:rsidRPr="00244F1B" w:rsidRDefault="00244F1B" w:rsidP="00244F1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244F1B">
              <w:t>307</w:t>
            </w:r>
          </w:p>
        </w:tc>
        <w:tc>
          <w:tcPr>
            <w:tcW w:w="598" w:type="pct"/>
            <w:tcBorders>
              <w:top w:val="nil"/>
              <w:left w:val="nil"/>
              <w:bottom w:val="nil"/>
              <w:right w:val="nil"/>
            </w:tcBorders>
            <w:shd w:val="clear" w:color="auto" w:fill="auto"/>
            <w:vAlign w:val="bottom"/>
          </w:tcPr>
          <w:p w:rsidR="003C20D1" w:rsidRPr="001B5A17" w:rsidRDefault="003C20D1" w:rsidP="003C20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1B5A17">
              <w:t>—</w:t>
            </w:r>
          </w:p>
        </w:tc>
        <w:tc>
          <w:tcPr>
            <w:tcW w:w="597" w:type="pct"/>
            <w:tcBorders>
              <w:top w:val="nil"/>
              <w:left w:val="nil"/>
              <w:bottom w:val="nil"/>
              <w:right w:val="nil"/>
            </w:tcBorders>
            <w:vAlign w:val="bottom"/>
          </w:tcPr>
          <w:p w:rsidR="003C20D1" w:rsidRPr="00E22334" w:rsidRDefault="003C20D1" w:rsidP="00E223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E22334">
              <w:t>4</w:t>
            </w:r>
            <w:r w:rsidR="00E22334" w:rsidRPr="00E22334">
              <w:t>4</w:t>
            </w:r>
            <w:r w:rsidRPr="00E22334">
              <w:t>,</w:t>
            </w:r>
            <w:r w:rsidR="00E22334" w:rsidRPr="00E22334">
              <w:t>804</w:t>
            </w:r>
          </w:p>
        </w:tc>
      </w:tr>
      <w:tr w:rsidR="003C20D1" w:rsidRPr="0053635E" w:rsidTr="00FA139D">
        <w:trPr>
          <w:cantSplit/>
          <w:trHeight w:val="309"/>
          <w:jc w:val="center"/>
        </w:trPr>
        <w:tc>
          <w:tcPr>
            <w:tcW w:w="2011" w:type="pct"/>
            <w:tcBorders>
              <w:top w:val="nil"/>
              <w:left w:val="nil"/>
              <w:bottom w:val="nil"/>
              <w:right w:val="nil"/>
            </w:tcBorders>
          </w:tcPr>
          <w:p w:rsidR="003C20D1" w:rsidRPr="00ED1B4C" w:rsidRDefault="003C20D1" w:rsidP="003123B7">
            <w:pPr>
              <w:widowControl/>
              <w:suppressAutoHyphens/>
              <w:spacing w:after="40"/>
              <w:ind w:left="200" w:hanging="200"/>
            </w:pPr>
            <w:r w:rsidRPr="00ED1B4C">
              <w:rPr>
                <w:bCs/>
              </w:rPr>
              <w:t>Total assets</w:t>
            </w:r>
            <w:r w:rsidRPr="00ED1B4C">
              <w:tab/>
            </w:r>
          </w:p>
        </w:tc>
        <w:tc>
          <w:tcPr>
            <w:tcW w:w="598" w:type="pct"/>
            <w:tcBorders>
              <w:top w:val="nil"/>
              <w:left w:val="nil"/>
              <w:bottom w:val="nil"/>
              <w:right w:val="nil"/>
            </w:tcBorders>
            <w:vAlign w:val="bottom"/>
          </w:tcPr>
          <w:p w:rsidR="003C20D1" w:rsidRPr="00C07AFB" w:rsidRDefault="003C20D1" w:rsidP="00C07AF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C07AFB">
              <w:t>$</w:t>
            </w:r>
            <w:r w:rsidR="000B08F4" w:rsidRPr="00C07AFB">
              <w:t xml:space="preserve">  </w:t>
            </w:r>
            <w:r w:rsidR="00033CA5" w:rsidRPr="00C07AFB">
              <w:t xml:space="preserve"> </w:t>
            </w:r>
            <w:r w:rsidR="000B08F4" w:rsidRPr="00C07AFB">
              <w:t xml:space="preserve">   </w:t>
            </w:r>
            <w:r w:rsidR="00704A01" w:rsidRPr="00C07AFB">
              <w:t>8</w:t>
            </w:r>
            <w:r w:rsidR="00C07AFB" w:rsidRPr="00C07AFB">
              <w:t>3</w:t>
            </w:r>
            <w:r w:rsidR="00704A01" w:rsidRPr="00C07AFB">
              <w:t>5,</w:t>
            </w:r>
            <w:r w:rsidR="00C07AFB" w:rsidRPr="00C07AFB">
              <w:t>434</w:t>
            </w:r>
          </w:p>
        </w:tc>
        <w:tc>
          <w:tcPr>
            <w:tcW w:w="598" w:type="pct"/>
            <w:tcBorders>
              <w:top w:val="nil"/>
              <w:left w:val="nil"/>
              <w:bottom w:val="nil"/>
              <w:right w:val="nil"/>
            </w:tcBorders>
            <w:vAlign w:val="bottom"/>
          </w:tcPr>
          <w:p w:rsidR="003C20D1" w:rsidRPr="003E0CFF" w:rsidRDefault="003C20D1" w:rsidP="003E0CFF">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3E0CFF">
              <w:t>$</w:t>
            </w:r>
            <w:r w:rsidR="000B08F4" w:rsidRPr="003E0CFF">
              <w:t xml:space="preserve">   </w:t>
            </w:r>
            <w:r w:rsidRPr="003E0CFF">
              <w:t>1,</w:t>
            </w:r>
            <w:r w:rsidR="00D778F4" w:rsidRPr="003E0CFF">
              <w:t>8</w:t>
            </w:r>
            <w:r w:rsidR="003E0CFF" w:rsidRPr="003E0CFF">
              <w:t>2</w:t>
            </w:r>
            <w:r w:rsidR="00893511" w:rsidRPr="003E0CFF">
              <w:t>6</w:t>
            </w:r>
            <w:r w:rsidRPr="003E0CFF">
              <w:t>,</w:t>
            </w:r>
            <w:r w:rsidR="003E0CFF" w:rsidRPr="003E0CFF">
              <w:t>310</w:t>
            </w:r>
          </w:p>
        </w:tc>
        <w:tc>
          <w:tcPr>
            <w:tcW w:w="598" w:type="pct"/>
            <w:tcBorders>
              <w:top w:val="nil"/>
              <w:left w:val="nil"/>
              <w:bottom w:val="nil"/>
              <w:right w:val="nil"/>
            </w:tcBorders>
            <w:vAlign w:val="bottom"/>
          </w:tcPr>
          <w:p w:rsidR="003C20D1" w:rsidRPr="00244F1B" w:rsidRDefault="003C20D1" w:rsidP="00244F1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244F1B">
              <w:t>$</w:t>
            </w:r>
            <w:r w:rsidR="000B08F4" w:rsidRPr="00244F1B">
              <w:t xml:space="preserve">   </w:t>
            </w:r>
            <w:r w:rsidR="00033CA5" w:rsidRPr="00244F1B">
              <w:t xml:space="preserve"> </w:t>
            </w:r>
            <w:r w:rsidR="000B08F4" w:rsidRPr="00244F1B">
              <w:t xml:space="preserve">    </w:t>
            </w:r>
            <w:r w:rsidRPr="00244F1B">
              <w:t>1</w:t>
            </w:r>
            <w:r w:rsidR="00244F1B" w:rsidRPr="00244F1B">
              <w:t>5</w:t>
            </w:r>
            <w:r w:rsidRPr="00244F1B">
              <w:t>,</w:t>
            </w:r>
            <w:r w:rsidR="00244F1B" w:rsidRPr="00244F1B">
              <w:t>407</w:t>
            </w:r>
          </w:p>
        </w:tc>
        <w:tc>
          <w:tcPr>
            <w:tcW w:w="598" w:type="pct"/>
            <w:tcBorders>
              <w:top w:val="nil"/>
              <w:left w:val="nil"/>
              <w:bottom w:val="nil"/>
              <w:right w:val="nil"/>
            </w:tcBorders>
            <w:shd w:val="clear" w:color="auto" w:fill="auto"/>
            <w:vAlign w:val="bottom"/>
          </w:tcPr>
          <w:p w:rsidR="003C20D1" w:rsidRPr="001B5A17" w:rsidRDefault="003C20D1" w:rsidP="001B5A17">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1B5A17">
              <w:t>$</w:t>
            </w:r>
            <w:r w:rsidR="00033CA5" w:rsidRPr="001B5A17">
              <w:t xml:space="preserve"> </w:t>
            </w:r>
            <w:r w:rsidR="000B08F4" w:rsidRPr="001B5A17">
              <w:t xml:space="preserve">   </w:t>
            </w:r>
            <w:r w:rsidRPr="001B5A17">
              <w:t>(</w:t>
            </w:r>
            <w:r w:rsidR="00704A01" w:rsidRPr="001B5A17">
              <w:t>8</w:t>
            </w:r>
            <w:r w:rsidR="001B5A17" w:rsidRPr="001B5A17">
              <w:t>48</w:t>
            </w:r>
            <w:r w:rsidR="00704A01" w:rsidRPr="001B5A17">
              <w:t>,</w:t>
            </w:r>
            <w:r w:rsidR="001B5A17" w:rsidRPr="001B5A17">
              <w:t>864</w:t>
            </w:r>
            <w:r w:rsidRPr="001B5A17">
              <w:t>)</w:t>
            </w:r>
          </w:p>
        </w:tc>
        <w:tc>
          <w:tcPr>
            <w:tcW w:w="597" w:type="pct"/>
            <w:tcBorders>
              <w:top w:val="nil"/>
              <w:left w:val="nil"/>
              <w:bottom w:val="nil"/>
              <w:right w:val="nil"/>
            </w:tcBorders>
            <w:vAlign w:val="bottom"/>
          </w:tcPr>
          <w:p w:rsidR="003C20D1" w:rsidRPr="00E22334" w:rsidRDefault="003C20D1" w:rsidP="00E22334">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E22334">
              <w:t>$</w:t>
            </w:r>
            <w:r w:rsidR="000B08F4" w:rsidRPr="00E22334">
              <w:t xml:space="preserve"> </w:t>
            </w:r>
            <w:r w:rsidR="00033CA5" w:rsidRPr="00E22334">
              <w:t xml:space="preserve"> </w:t>
            </w:r>
            <w:r w:rsidR="000B08F4" w:rsidRPr="00E22334">
              <w:t xml:space="preserve"> </w:t>
            </w:r>
            <w:r w:rsidRPr="00E22334">
              <w:t>1,</w:t>
            </w:r>
            <w:r w:rsidR="00A465D7" w:rsidRPr="00E22334">
              <w:t>8</w:t>
            </w:r>
            <w:r w:rsidR="00E22334" w:rsidRPr="00E22334">
              <w:t>2</w:t>
            </w:r>
            <w:r w:rsidR="007B1C89" w:rsidRPr="00E22334">
              <w:t>8</w:t>
            </w:r>
            <w:r w:rsidRPr="00E22334">
              <w:t>,</w:t>
            </w:r>
            <w:r w:rsidR="00E22334" w:rsidRPr="00E22334">
              <w:t>287</w:t>
            </w:r>
          </w:p>
        </w:tc>
      </w:tr>
      <w:tr w:rsidR="003C20D1" w:rsidRPr="0053635E" w:rsidTr="001B21ED">
        <w:trPr>
          <w:cantSplit/>
          <w:trHeight w:val="232"/>
          <w:jc w:val="center"/>
        </w:trPr>
        <w:tc>
          <w:tcPr>
            <w:tcW w:w="2011" w:type="pct"/>
            <w:tcBorders>
              <w:top w:val="nil"/>
              <w:left w:val="nil"/>
              <w:bottom w:val="nil"/>
              <w:right w:val="nil"/>
            </w:tcBorders>
          </w:tcPr>
          <w:p w:rsidR="003C20D1" w:rsidRPr="00ED1B4C"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ED1B4C">
              <w:rPr>
                <w:b/>
                <w:bCs/>
              </w:rPr>
              <w:t>Liabilities and member’s interest</w:t>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98" w:type="pct"/>
            <w:tcBorders>
              <w:top w:val="nil"/>
              <w:left w:val="nil"/>
              <w:bottom w:val="nil"/>
              <w:right w:val="nil"/>
            </w:tcBorders>
            <w:vAlign w:val="bottom"/>
          </w:tcPr>
          <w:p w:rsidR="003C20D1" w:rsidRPr="0053635E"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98" w:type="pct"/>
            <w:tcBorders>
              <w:top w:val="nil"/>
              <w:left w:val="nil"/>
              <w:bottom w:val="nil"/>
              <w:right w:val="nil"/>
            </w:tcBorders>
            <w:vAlign w:val="bottom"/>
          </w:tcPr>
          <w:p w:rsidR="003C20D1" w:rsidRPr="0053635E"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98" w:type="pct"/>
            <w:tcBorders>
              <w:top w:val="nil"/>
              <w:left w:val="nil"/>
              <w:bottom w:val="nil"/>
              <w:right w:val="nil"/>
            </w:tcBorders>
            <w:vAlign w:val="bottom"/>
          </w:tcPr>
          <w:p w:rsidR="003C20D1" w:rsidRPr="0053635E"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97" w:type="pct"/>
            <w:tcBorders>
              <w:top w:val="nil"/>
              <w:left w:val="nil"/>
              <w:bottom w:val="nil"/>
              <w:right w:val="nil"/>
            </w:tcBorders>
            <w:vAlign w:val="bottom"/>
          </w:tcPr>
          <w:p w:rsidR="003C20D1" w:rsidRPr="0053635E"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r>
      <w:tr w:rsidR="003C20D1" w:rsidRPr="0053635E" w:rsidTr="001B21ED">
        <w:trPr>
          <w:cantSplit/>
          <w:trHeight w:val="479"/>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Accounts payable, accrued expenses and other liabilities</w:t>
            </w:r>
            <w:r w:rsidRPr="00ED1B4C">
              <w:tab/>
            </w:r>
          </w:p>
        </w:tc>
        <w:tc>
          <w:tcPr>
            <w:tcW w:w="598" w:type="pct"/>
            <w:tcBorders>
              <w:top w:val="nil"/>
              <w:left w:val="nil"/>
              <w:bottom w:val="nil"/>
              <w:right w:val="nil"/>
            </w:tcBorders>
            <w:vAlign w:val="bottom"/>
          </w:tcPr>
          <w:p w:rsidR="003C20D1" w:rsidRPr="00C07AFB" w:rsidRDefault="003C20D1" w:rsidP="0089351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r w:rsidR="000B08F4" w:rsidRPr="00C07AFB">
              <w:t xml:space="preserve">    </w:t>
            </w:r>
            <w:r w:rsidR="0040010D" w:rsidRPr="00C07AFB">
              <w:t xml:space="preserve">  </w:t>
            </w:r>
            <w:r w:rsidR="000B08F4" w:rsidRPr="00C07AFB">
              <w:t xml:space="preserve">    </w:t>
            </w:r>
            <w:r w:rsidR="00893511" w:rsidRPr="00C07AFB">
              <w:t>4</w:t>
            </w:r>
            <w:r w:rsidRPr="00C07AFB">
              <w:t>,</w:t>
            </w:r>
            <w:r w:rsidR="00893511" w:rsidRPr="00C07AFB">
              <w:t>217</w:t>
            </w:r>
          </w:p>
        </w:tc>
        <w:tc>
          <w:tcPr>
            <w:tcW w:w="598" w:type="pct"/>
            <w:tcBorders>
              <w:top w:val="nil"/>
              <w:left w:val="nil"/>
              <w:bottom w:val="nil"/>
              <w:right w:val="nil"/>
            </w:tcBorders>
            <w:vAlign w:val="bottom"/>
          </w:tcPr>
          <w:p w:rsidR="003C20D1" w:rsidRPr="003E0CFF" w:rsidRDefault="003C20D1" w:rsidP="003E0C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w:t>
            </w:r>
            <w:r w:rsidR="000B08F4" w:rsidRPr="003E0CFF">
              <w:t xml:space="preserve">        </w:t>
            </w:r>
            <w:r w:rsidR="003E0CFF" w:rsidRPr="003E0CFF">
              <w:t>42</w:t>
            </w:r>
            <w:r w:rsidRPr="003E0CFF">
              <w:t>,</w:t>
            </w:r>
            <w:r w:rsidR="003E0CFF" w:rsidRPr="003E0CFF">
              <w:t>606</w:t>
            </w:r>
          </w:p>
        </w:tc>
        <w:tc>
          <w:tcPr>
            <w:tcW w:w="598" w:type="pct"/>
            <w:tcBorders>
              <w:top w:val="nil"/>
              <w:left w:val="nil"/>
              <w:bottom w:val="nil"/>
              <w:right w:val="nil"/>
            </w:tcBorders>
            <w:vAlign w:val="bottom"/>
          </w:tcPr>
          <w:p w:rsidR="003C20D1" w:rsidRPr="00244F1B" w:rsidRDefault="003C20D1" w:rsidP="00FE6E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w:t>
            </w:r>
            <w:r w:rsidR="000B08F4" w:rsidRPr="00244F1B">
              <w:t xml:space="preserve">  </w:t>
            </w:r>
            <w:r w:rsidR="00FE6EA4">
              <w:t xml:space="preserve">  </w:t>
            </w:r>
            <w:r w:rsidR="000B08F4" w:rsidRPr="00244F1B">
              <w:t xml:space="preserve">          </w:t>
            </w:r>
            <w:r w:rsidR="003E0CFF" w:rsidRPr="00244F1B">
              <w:t xml:space="preserve"> 63</w:t>
            </w:r>
          </w:p>
        </w:tc>
        <w:tc>
          <w:tcPr>
            <w:tcW w:w="598" w:type="pct"/>
            <w:tcBorders>
              <w:top w:val="nil"/>
              <w:left w:val="nil"/>
              <w:bottom w:val="nil"/>
              <w:right w:val="nil"/>
            </w:tcBorders>
            <w:vAlign w:val="bottom"/>
          </w:tcPr>
          <w:p w:rsidR="003C20D1" w:rsidRPr="00DF7AA4"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F7AA4">
              <w:t>$</w:t>
            </w:r>
            <w:r w:rsidR="000B08F4" w:rsidRPr="00DF7AA4">
              <w:t xml:space="preserve">               </w:t>
            </w:r>
            <w:r w:rsidRPr="00DF7AA4">
              <w:t>—</w:t>
            </w:r>
          </w:p>
        </w:tc>
        <w:tc>
          <w:tcPr>
            <w:tcW w:w="597" w:type="pct"/>
            <w:tcBorders>
              <w:top w:val="nil"/>
              <w:left w:val="nil"/>
              <w:bottom w:val="nil"/>
              <w:right w:val="nil"/>
            </w:tcBorders>
            <w:vAlign w:val="bottom"/>
          </w:tcPr>
          <w:p w:rsidR="003C20D1" w:rsidRPr="006B7E21" w:rsidRDefault="003C20D1" w:rsidP="006B7E2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B7E21">
              <w:t>$</w:t>
            </w:r>
            <w:r w:rsidR="000B08F4" w:rsidRPr="006B7E21">
              <w:t xml:space="preserve">        </w:t>
            </w:r>
            <w:r w:rsidR="006B7E21" w:rsidRPr="006B7E21">
              <w:t>46</w:t>
            </w:r>
            <w:r w:rsidRPr="006B7E21">
              <w:t>,</w:t>
            </w:r>
            <w:r w:rsidR="006B7E21" w:rsidRPr="006B7E21">
              <w:t>886</w:t>
            </w:r>
          </w:p>
        </w:tc>
      </w:tr>
      <w:tr w:rsidR="003C20D1" w:rsidRPr="0053635E" w:rsidTr="001B21ED">
        <w:trPr>
          <w:cantSplit/>
          <w:trHeight w:val="232"/>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Intercompany payable</w:t>
            </w:r>
            <w:r w:rsidRPr="00ED1B4C">
              <w:tab/>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p>
        </w:tc>
        <w:tc>
          <w:tcPr>
            <w:tcW w:w="598" w:type="pct"/>
            <w:tcBorders>
              <w:top w:val="nil"/>
              <w:left w:val="nil"/>
              <w:bottom w:val="nil"/>
              <w:right w:val="nil"/>
            </w:tcBorders>
            <w:vAlign w:val="bottom"/>
          </w:tcPr>
          <w:p w:rsidR="003C20D1" w:rsidRPr="003E0CFF" w:rsidRDefault="003E0CFF" w:rsidP="0089351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w:t>
            </w:r>
          </w:p>
        </w:tc>
        <w:tc>
          <w:tcPr>
            <w:tcW w:w="598" w:type="pct"/>
            <w:tcBorders>
              <w:top w:val="nil"/>
              <w:left w:val="nil"/>
              <w:bottom w:val="nil"/>
              <w:right w:val="nil"/>
            </w:tcBorders>
            <w:vAlign w:val="bottom"/>
          </w:tcPr>
          <w:p w:rsidR="003C20D1" w:rsidRPr="00244F1B" w:rsidRDefault="003E0CFF" w:rsidP="003E0C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166</w:t>
            </w:r>
          </w:p>
        </w:tc>
        <w:tc>
          <w:tcPr>
            <w:tcW w:w="598" w:type="pct"/>
            <w:tcBorders>
              <w:top w:val="nil"/>
              <w:left w:val="nil"/>
              <w:bottom w:val="nil"/>
              <w:right w:val="nil"/>
            </w:tcBorders>
            <w:vAlign w:val="bottom"/>
          </w:tcPr>
          <w:p w:rsidR="003C20D1" w:rsidRPr="00DF7AA4" w:rsidRDefault="003C20D1" w:rsidP="003E0C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F7AA4">
              <w:t>(</w:t>
            </w:r>
            <w:r w:rsidR="003E0CFF" w:rsidRPr="00DF7AA4">
              <w:t>166</w:t>
            </w:r>
            <w:r w:rsidRPr="00DF7AA4">
              <w:t>)</w:t>
            </w:r>
          </w:p>
        </w:tc>
        <w:tc>
          <w:tcPr>
            <w:tcW w:w="597" w:type="pct"/>
            <w:tcBorders>
              <w:top w:val="nil"/>
              <w:left w:val="nil"/>
              <w:bottom w:val="nil"/>
              <w:right w:val="nil"/>
            </w:tcBorders>
            <w:vAlign w:val="bottom"/>
          </w:tcPr>
          <w:p w:rsidR="003C20D1" w:rsidRPr="006B7E21"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B7E21">
              <w:t>—</w:t>
            </w:r>
          </w:p>
        </w:tc>
      </w:tr>
      <w:tr w:rsidR="003C20D1" w:rsidRPr="0053635E" w:rsidTr="001B21ED">
        <w:trPr>
          <w:cantSplit/>
          <w:trHeight w:val="247"/>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Intercompany note payable</w:t>
            </w:r>
            <w:r w:rsidRPr="00ED1B4C">
              <w:tab/>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p>
        </w:tc>
        <w:tc>
          <w:tcPr>
            <w:tcW w:w="598" w:type="pct"/>
            <w:tcBorders>
              <w:top w:val="nil"/>
              <w:left w:val="nil"/>
              <w:bottom w:val="nil"/>
              <w:right w:val="nil"/>
            </w:tcBorders>
            <w:vAlign w:val="bottom"/>
          </w:tcPr>
          <w:p w:rsidR="003C20D1" w:rsidRPr="003E0CFF"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300,000</w:t>
            </w:r>
          </w:p>
        </w:tc>
        <w:tc>
          <w:tcPr>
            <w:tcW w:w="598" w:type="pct"/>
            <w:tcBorders>
              <w:top w:val="nil"/>
              <w:left w:val="nil"/>
              <w:bottom w:val="nil"/>
              <w:right w:val="nil"/>
            </w:tcBorders>
            <w:vAlign w:val="bottom"/>
          </w:tcPr>
          <w:p w:rsidR="003C20D1" w:rsidRPr="00244F1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w:t>
            </w:r>
          </w:p>
        </w:tc>
        <w:tc>
          <w:tcPr>
            <w:tcW w:w="598" w:type="pct"/>
            <w:tcBorders>
              <w:top w:val="nil"/>
              <w:left w:val="nil"/>
              <w:bottom w:val="nil"/>
              <w:right w:val="nil"/>
            </w:tcBorders>
            <w:vAlign w:val="bottom"/>
          </w:tcPr>
          <w:p w:rsidR="003C20D1" w:rsidRPr="00DF7AA4"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F7AA4">
              <w:t>(300,000)</w:t>
            </w:r>
          </w:p>
        </w:tc>
        <w:tc>
          <w:tcPr>
            <w:tcW w:w="597" w:type="pct"/>
            <w:tcBorders>
              <w:top w:val="nil"/>
              <w:left w:val="nil"/>
              <w:bottom w:val="nil"/>
              <w:right w:val="nil"/>
            </w:tcBorders>
            <w:vAlign w:val="bottom"/>
          </w:tcPr>
          <w:p w:rsidR="003C20D1" w:rsidRPr="006B7E21"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B7E21">
              <w:t>—</w:t>
            </w:r>
          </w:p>
        </w:tc>
      </w:tr>
      <w:tr w:rsidR="003C20D1" w:rsidRPr="0053635E" w:rsidTr="001B21ED">
        <w:trPr>
          <w:cantSplit/>
          <w:trHeight w:val="232"/>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Intercompany interest payable</w:t>
            </w:r>
            <w:r w:rsidRPr="00ED1B4C">
              <w:tab/>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p>
        </w:tc>
        <w:tc>
          <w:tcPr>
            <w:tcW w:w="598" w:type="pct"/>
            <w:tcBorders>
              <w:top w:val="nil"/>
              <w:left w:val="nil"/>
              <w:bottom w:val="nil"/>
              <w:right w:val="nil"/>
            </w:tcBorders>
            <w:vAlign w:val="bottom"/>
          </w:tcPr>
          <w:p w:rsidR="003C20D1" w:rsidRPr="003E0CFF" w:rsidRDefault="00893511" w:rsidP="0089351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4</w:t>
            </w:r>
            <w:r w:rsidR="003C20D1" w:rsidRPr="003E0CFF">
              <w:t>,</w:t>
            </w:r>
            <w:r w:rsidRPr="003E0CFF">
              <w:t>217</w:t>
            </w:r>
          </w:p>
        </w:tc>
        <w:tc>
          <w:tcPr>
            <w:tcW w:w="598" w:type="pct"/>
            <w:tcBorders>
              <w:top w:val="nil"/>
              <w:left w:val="nil"/>
              <w:bottom w:val="nil"/>
              <w:right w:val="nil"/>
            </w:tcBorders>
            <w:vAlign w:val="bottom"/>
          </w:tcPr>
          <w:p w:rsidR="003C20D1" w:rsidRPr="00244F1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w:t>
            </w:r>
          </w:p>
        </w:tc>
        <w:tc>
          <w:tcPr>
            <w:tcW w:w="598" w:type="pct"/>
            <w:tcBorders>
              <w:top w:val="nil"/>
              <w:left w:val="nil"/>
              <w:bottom w:val="nil"/>
              <w:right w:val="nil"/>
            </w:tcBorders>
            <w:vAlign w:val="bottom"/>
          </w:tcPr>
          <w:p w:rsidR="003C20D1" w:rsidRPr="00DF7AA4" w:rsidRDefault="003C20D1" w:rsidP="007B1C8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F7AA4">
              <w:t>(</w:t>
            </w:r>
            <w:r w:rsidR="007B1C89" w:rsidRPr="00DF7AA4">
              <w:t>4</w:t>
            </w:r>
            <w:r w:rsidRPr="00DF7AA4">
              <w:t>,</w:t>
            </w:r>
            <w:r w:rsidR="007B1C89" w:rsidRPr="00DF7AA4">
              <w:t>217</w:t>
            </w:r>
            <w:r w:rsidRPr="00DF7AA4">
              <w:t>)</w:t>
            </w:r>
          </w:p>
        </w:tc>
        <w:tc>
          <w:tcPr>
            <w:tcW w:w="597" w:type="pct"/>
            <w:tcBorders>
              <w:top w:val="nil"/>
              <w:left w:val="nil"/>
              <w:bottom w:val="nil"/>
              <w:right w:val="nil"/>
            </w:tcBorders>
            <w:vAlign w:val="bottom"/>
          </w:tcPr>
          <w:p w:rsidR="003C20D1" w:rsidRPr="006B7E21"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B7E21">
              <w:t>—</w:t>
            </w:r>
          </w:p>
        </w:tc>
      </w:tr>
      <w:tr w:rsidR="003C20D1" w:rsidRPr="0053635E" w:rsidTr="001B21ED">
        <w:trPr>
          <w:cantSplit/>
          <w:trHeight w:val="232"/>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Intercompany lease payable</w:t>
            </w:r>
            <w:r w:rsidRPr="00ED1B4C">
              <w:tab/>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p>
        </w:tc>
        <w:tc>
          <w:tcPr>
            <w:tcW w:w="598" w:type="pct"/>
            <w:tcBorders>
              <w:top w:val="nil"/>
              <w:left w:val="nil"/>
              <w:bottom w:val="nil"/>
              <w:right w:val="nil"/>
            </w:tcBorders>
            <w:vAlign w:val="bottom"/>
          </w:tcPr>
          <w:p w:rsidR="003C20D1" w:rsidRPr="003E0CFF"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w:t>
            </w:r>
          </w:p>
        </w:tc>
        <w:tc>
          <w:tcPr>
            <w:tcW w:w="598" w:type="pct"/>
            <w:tcBorders>
              <w:top w:val="nil"/>
              <w:left w:val="nil"/>
              <w:bottom w:val="nil"/>
              <w:right w:val="nil"/>
            </w:tcBorders>
            <w:vAlign w:val="bottom"/>
          </w:tcPr>
          <w:p w:rsidR="003C20D1" w:rsidRPr="00244F1B" w:rsidRDefault="003E0CFF" w:rsidP="003E0C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9</w:t>
            </w:r>
            <w:r w:rsidR="003C20D1" w:rsidRPr="00244F1B">
              <w:t>,</w:t>
            </w:r>
            <w:r w:rsidRPr="00244F1B">
              <w:t>910</w:t>
            </w:r>
          </w:p>
        </w:tc>
        <w:tc>
          <w:tcPr>
            <w:tcW w:w="598" w:type="pct"/>
            <w:tcBorders>
              <w:top w:val="nil"/>
              <w:left w:val="nil"/>
              <w:bottom w:val="nil"/>
              <w:right w:val="nil"/>
            </w:tcBorders>
            <w:vAlign w:val="bottom"/>
          </w:tcPr>
          <w:p w:rsidR="003C20D1" w:rsidRPr="00DF7AA4" w:rsidRDefault="003C20D1" w:rsidP="003E0C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F7AA4">
              <w:t>(</w:t>
            </w:r>
            <w:r w:rsidR="003E0CFF" w:rsidRPr="00DF7AA4">
              <w:t>9</w:t>
            </w:r>
            <w:r w:rsidRPr="00DF7AA4">
              <w:t>,</w:t>
            </w:r>
            <w:r w:rsidR="003E0CFF" w:rsidRPr="00DF7AA4">
              <w:t>910</w:t>
            </w:r>
            <w:r w:rsidRPr="00DF7AA4">
              <w:t>)</w:t>
            </w:r>
          </w:p>
        </w:tc>
        <w:tc>
          <w:tcPr>
            <w:tcW w:w="597" w:type="pct"/>
            <w:tcBorders>
              <w:top w:val="nil"/>
              <w:left w:val="nil"/>
              <w:bottom w:val="nil"/>
              <w:right w:val="nil"/>
            </w:tcBorders>
            <w:vAlign w:val="bottom"/>
          </w:tcPr>
          <w:p w:rsidR="003C20D1" w:rsidRPr="006B7E21"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B7E21">
              <w:t>—</w:t>
            </w:r>
          </w:p>
        </w:tc>
      </w:tr>
      <w:tr w:rsidR="003C20D1" w:rsidRPr="0053635E" w:rsidTr="001B21ED">
        <w:trPr>
          <w:cantSplit/>
          <w:trHeight w:val="232"/>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t>Deferred income taxes</w:t>
            </w:r>
            <w:r w:rsidR="00AF43E9">
              <w:t>, net</w:t>
            </w:r>
            <w:r w:rsidRPr="00ED1B4C">
              <w:tab/>
            </w:r>
          </w:p>
        </w:tc>
        <w:tc>
          <w:tcPr>
            <w:tcW w:w="598" w:type="pct"/>
            <w:tcBorders>
              <w:top w:val="nil"/>
              <w:left w:val="nil"/>
              <w:bottom w:val="nil"/>
              <w:right w:val="nil"/>
            </w:tcBorders>
            <w:vAlign w:val="bottom"/>
          </w:tcPr>
          <w:p w:rsidR="003C20D1" w:rsidRPr="00C07AFB"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w:t>
            </w:r>
          </w:p>
        </w:tc>
        <w:tc>
          <w:tcPr>
            <w:tcW w:w="598" w:type="pct"/>
            <w:tcBorders>
              <w:top w:val="nil"/>
              <w:left w:val="nil"/>
              <w:bottom w:val="nil"/>
              <w:right w:val="nil"/>
            </w:tcBorders>
            <w:vAlign w:val="bottom"/>
          </w:tcPr>
          <w:p w:rsidR="003C20D1" w:rsidRPr="003E0CFF" w:rsidRDefault="003E0CFF" w:rsidP="003E0C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102</w:t>
            </w:r>
            <w:r w:rsidR="003C20D1" w:rsidRPr="003E0CFF">
              <w:t>,</w:t>
            </w:r>
            <w:r w:rsidRPr="003E0CFF">
              <w:t>799</w:t>
            </w:r>
          </w:p>
        </w:tc>
        <w:tc>
          <w:tcPr>
            <w:tcW w:w="598" w:type="pct"/>
            <w:tcBorders>
              <w:top w:val="nil"/>
              <w:left w:val="nil"/>
              <w:bottom w:val="nil"/>
              <w:right w:val="nil"/>
            </w:tcBorders>
            <w:vAlign w:val="bottom"/>
          </w:tcPr>
          <w:p w:rsidR="003C20D1" w:rsidRPr="00244F1B" w:rsidRDefault="00B87CCE" w:rsidP="00244F1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1,</w:t>
            </w:r>
            <w:r w:rsidR="00244F1B" w:rsidRPr="00244F1B">
              <w:t>914</w:t>
            </w:r>
          </w:p>
        </w:tc>
        <w:tc>
          <w:tcPr>
            <w:tcW w:w="598" w:type="pct"/>
            <w:tcBorders>
              <w:top w:val="nil"/>
              <w:left w:val="nil"/>
              <w:bottom w:val="nil"/>
              <w:right w:val="nil"/>
            </w:tcBorders>
            <w:vAlign w:val="bottom"/>
          </w:tcPr>
          <w:p w:rsidR="003C20D1" w:rsidRPr="00DF7AA4" w:rsidRDefault="003C20D1" w:rsidP="003C20D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F7AA4">
              <w:t>—</w:t>
            </w:r>
          </w:p>
        </w:tc>
        <w:tc>
          <w:tcPr>
            <w:tcW w:w="597" w:type="pct"/>
            <w:tcBorders>
              <w:top w:val="nil"/>
              <w:left w:val="nil"/>
              <w:bottom w:val="nil"/>
              <w:right w:val="nil"/>
            </w:tcBorders>
            <w:vAlign w:val="bottom"/>
          </w:tcPr>
          <w:p w:rsidR="003C20D1" w:rsidRPr="006B7E21" w:rsidRDefault="00E22334" w:rsidP="00E223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B7E21">
              <w:t>104</w:t>
            </w:r>
            <w:r w:rsidR="003C20D1" w:rsidRPr="006B7E21">
              <w:t>,</w:t>
            </w:r>
            <w:r w:rsidRPr="006B7E21">
              <w:t>713</w:t>
            </w:r>
          </w:p>
        </w:tc>
      </w:tr>
      <w:tr w:rsidR="003C20D1" w:rsidRPr="0053635E" w:rsidTr="001B21ED">
        <w:trPr>
          <w:cantSplit/>
          <w:trHeight w:val="263"/>
          <w:jc w:val="center"/>
        </w:trPr>
        <w:tc>
          <w:tcPr>
            <w:tcW w:w="2011" w:type="pct"/>
            <w:tcBorders>
              <w:top w:val="nil"/>
              <w:left w:val="nil"/>
              <w:bottom w:val="nil"/>
              <w:right w:val="nil"/>
            </w:tcBorders>
          </w:tcPr>
          <w:p w:rsidR="003C20D1" w:rsidRPr="00ED1B4C" w:rsidRDefault="003C20D1" w:rsidP="003123B7">
            <w:pPr>
              <w:widowControl/>
              <w:suppressAutoHyphens/>
              <w:spacing w:after="20"/>
              <w:ind w:left="200" w:hanging="200"/>
            </w:pPr>
            <w:r w:rsidRPr="00ED1B4C">
              <w:t>Debt and capital lease obligations</w:t>
            </w:r>
            <w:r w:rsidRPr="00ED1B4C">
              <w:tab/>
            </w:r>
          </w:p>
        </w:tc>
        <w:tc>
          <w:tcPr>
            <w:tcW w:w="598" w:type="pct"/>
            <w:tcBorders>
              <w:top w:val="nil"/>
              <w:left w:val="nil"/>
              <w:bottom w:val="nil"/>
              <w:right w:val="nil"/>
            </w:tcBorders>
            <w:vAlign w:val="bottom"/>
          </w:tcPr>
          <w:p w:rsidR="003C20D1" w:rsidRPr="00C07AFB" w:rsidRDefault="003C20D1" w:rsidP="003C20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C07AFB">
              <w:t>300,000</w:t>
            </w:r>
          </w:p>
        </w:tc>
        <w:tc>
          <w:tcPr>
            <w:tcW w:w="598" w:type="pct"/>
            <w:tcBorders>
              <w:top w:val="nil"/>
              <w:left w:val="nil"/>
              <w:bottom w:val="nil"/>
              <w:right w:val="nil"/>
            </w:tcBorders>
            <w:vAlign w:val="bottom"/>
          </w:tcPr>
          <w:p w:rsidR="003C20D1" w:rsidRPr="003E0CFF" w:rsidRDefault="00893511" w:rsidP="003E0CF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E0CFF">
              <w:t>8</w:t>
            </w:r>
            <w:r w:rsidR="003E0CFF" w:rsidRPr="003E0CFF">
              <w:t>45</w:t>
            </w:r>
            <w:r w:rsidR="003C20D1" w:rsidRPr="003E0CFF">
              <w:t>,</w:t>
            </w:r>
            <w:r w:rsidR="003E0CFF" w:rsidRPr="003E0CFF">
              <w:t>471</w:t>
            </w:r>
          </w:p>
        </w:tc>
        <w:tc>
          <w:tcPr>
            <w:tcW w:w="598" w:type="pct"/>
            <w:tcBorders>
              <w:top w:val="nil"/>
              <w:left w:val="nil"/>
              <w:bottom w:val="nil"/>
              <w:right w:val="nil"/>
            </w:tcBorders>
            <w:vAlign w:val="bottom"/>
          </w:tcPr>
          <w:p w:rsidR="003C20D1" w:rsidRPr="00244F1B" w:rsidRDefault="003C20D1" w:rsidP="003C20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244F1B">
              <w:t>—</w:t>
            </w:r>
          </w:p>
        </w:tc>
        <w:tc>
          <w:tcPr>
            <w:tcW w:w="598" w:type="pct"/>
            <w:tcBorders>
              <w:top w:val="nil"/>
              <w:left w:val="nil"/>
              <w:bottom w:val="nil"/>
              <w:right w:val="nil"/>
            </w:tcBorders>
            <w:vAlign w:val="bottom"/>
          </w:tcPr>
          <w:p w:rsidR="003C20D1" w:rsidRPr="00DF7AA4" w:rsidRDefault="003C20D1" w:rsidP="003C20D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F7AA4">
              <w:t>—</w:t>
            </w:r>
          </w:p>
        </w:tc>
        <w:tc>
          <w:tcPr>
            <w:tcW w:w="597" w:type="pct"/>
            <w:tcBorders>
              <w:top w:val="nil"/>
              <w:left w:val="nil"/>
              <w:bottom w:val="nil"/>
              <w:right w:val="nil"/>
            </w:tcBorders>
            <w:vAlign w:val="bottom"/>
          </w:tcPr>
          <w:p w:rsidR="003C20D1" w:rsidRPr="006B7E21" w:rsidRDefault="003C20D1" w:rsidP="00E223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6B7E21">
              <w:t>1,1</w:t>
            </w:r>
            <w:r w:rsidR="00E22334" w:rsidRPr="006B7E21">
              <w:t>45</w:t>
            </w:r>
            <w:r w:rsidRPr="006B7E21">
              <w:t>,</w:t>
            </w:r>
            <w:r w:rsidR="00E22334" w:rsidRPr="006B7E21">
              <w:t>471</w:t>
            </w:r>
          </w:p>
        </w:tc>
      </w:tr>
      <w:tr w:rsidR="003C20D1" w:rsidRPr="0053635E" w:rsidTr="001B21ED">
        <w:trPr>
          <w:cantSplit/>
          <w:trHeight w:val="247"/>
          <w:jc w:val="center"/>
        </w:trPr>
        <w:tc>
          <w:tcPr>
            <w:tcW w:w="2011" w:type="pct"/>
            <w:tcBorders>
              <w:top w:val="nil"/>
              <w:left w:val="nil"/>
              <w:bottom w:val="nil"/>
              <w:right w:val="nil"/>
            </w:tcBorders>
          </w:tcPr>
          <w:p w:rsidR="003C20D1" w:rsidRPr="00ED1B4C" w:rsidRDefault="003C20D1" w:rsidP="003123B7">
            <w:pPr>
              <w:widowControl/>
              <w:suppressAutoHyphens/>
              <w:ind w:left="200" w:hanging="200"/>
            </w:pPr>
            <w:r w:rsidRPr="00ED1B4C">
              <w:rPr>
                <w:bCs/>
              </w:rPr>
              <w:t>Total liabilities</w:t>
            </w:r>
            <w:r w:rsidRPr="00ED1B4C">
              <w:tab/>
            </w:r>
          </w:p>
        </w:tc>
        <w:tc>
          <w:tcPr>
            <w:tcW w:w="598" w:type="pct"/>
            <w:tcBorders>
              <w:top w:val="nil"/>
              <w:left w:val="nil"/>
              <w:bottom w:val="nil"/>
              <w:right w:val="nil"/>
            </w:tcBorders>
            <w:vAlign w:val="bottom"/>
          </w:tcPr>
          <w:p w:rsidR="003C20D1" w:rsidRPr="00C07AFB" w:rsidRDefault="003C20D1" w:rsidP="0089351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07AFB">
              <w:t>3</w:t>
            </w:r>
            <w:r w:rsidR="00893511" w:rsidRPr="00C07AFB">
              <w:t>04</w:t>
            </w:r>
            <w:r w:rsidRPr="00C07AFB">
              <w:t>,</w:t>
            </w:r>
            <w:r w:rsidR="00893511" w:rsidRPr="00C07AFB">
              <w:t>217</w:t>
            </w:r>
          </w:p>
        </w:tc>
        <w:tc>
          <w:tcPr>
            <w:tcW w:w="598" w:type="pct"/>
            <w:tcBorders>
              <w:top w:val="nil"/>
              <w:left w:val="nil"/>
              <w:bottom w:val="nil"/>
              <w:right w:val="nil"/>
            </w:tcBorders>
            <w:vAlign w:val="bottom"/>
          </w:tcPr>
          <w:p w:rsidR="003C20D1" w:rsidRPr="003E0CFF" w:rsidRDefault="003C20D1" w:rsidP="003E0CF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E0CFF">
              <w:t>1,</w:t>
            </w:r>
            <w:r w:rsidR="003E0CFF" w:rsidRPr="003E0CFF">
              <w:t>295</w:t>
            </w:r>
            <w:r w:rsidRPr="003E0CFF">
              <w:t>,</w:t>
            </w:r>
            <w:r w:rsidR="003E0CFF" w:rsidRPr="003E0CFF">
              <w:t>093</w:t>
            </w:r>
          </w:p>
        </w:tc>
        <w:tc>
          <w:tcPr>
            <w:tcW w:w="598" w:type="pct"/>
            <w:tcBorders>
              <w:top w:val="nil"/>
              <w:left w:val="nil"/>
              <w:bottom w:val="nil"/>
              <w:right w:val="nil"/>
            </w:tcBorders>
            <w:vAlign w:val="bottom"/>
          </w:tcPr>
          <w:p w:rsidR="003C20D1" w:rsidRPr="00244F1B" w:rsidRDefault="003C20D1" w:rsidP="00244F1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244F1B">
              <w:t>1</w:t>
            </w:r>
            <w:r w:rsidR="00B87CCE" w:rsidRPr="00244F1B">
              <w:t>2</w:t>
            </w:r>
            <w:r w:rsidRPr="00244F1B">
              <w:t>,</w:t>
            </w:r>
            <w:r w:rsidR="00244F1B" w:rsidRPr="00244F1B">
              <w:t>053</w:t>
            </w:r>
          </w:p>
        </w:tc>
        <w:tc>
          <w:tcPr>
            <w:tcW w:w="598" w:type="pct"/>
            <w:tcBorders>
              <w:top w:val="nil"/>
              <w:left w:val="nil"/>
              <w:bottom w:val="nil"/>
              <w:right w:val="nil"/>
            </w:tcBorders>
            <w:vAlign w:val="bottom"/>
          </w:tcPr>
          <w:p w:rsidR="003C20D1" w:rsidRPr="00DF7AA4" w:rsidRDefault="003C20D1" w:rsidP="00DF7A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F7AA4">
              <w:t>(3</w:t>
            </w:r>
            <w:r w:rsidR="007B1C89" w:rsidRPr="00DF7AA4">
              <w:t>1</w:t>
            </w:r>
            <w:r w:rsidR="00DF7AA4" w:rsidRPr="00DF7AA4">
              <w:t>4</w:t>
            </w:r>
            <w:r w:rsidRPr="00DF7AA4">
              <w:t>,</w:t>
            </w:r>
            <w:r w:rsidR="00DF7AA4" w:rsidRPr="00DF7AA4">
              <w:t>293</w:t>
            </w:r>
            <w:r w:rsidR="007B1C89" w:rsidRPr="00DF7AA4">
              <w:t>)</w:t>
            </w:r>
          </w:p>
        </w:tc>
        <w:tc>
          <w:tcPr>
            <w:tcW w:w="597" w:type="pct"/>
            <w:tcBorders>
              <w:top w:val="nil"/>
              <w:left w:val="nil"/>
              <w:bottom w:val="nil"/>
              <w:right w:val="nil"/>
            </w:tcBorders>
            <w:vAlign w:val="bottom"/>
          </w:tcPr>
          <w:p w:rsidR="003C20D1" w:rsidRPr="006B7E21" w:rsidRDefault="003C20D1" w:rsidP="006B7E2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B7E21">
              <w:t>1,</w:t>
            </w:r>
            <w:r w:rsidR="006B7E21" w:rsidRPr="006B7E21">
              <w:t>297</w:t>
            </w:r>
            <w:r w:rsidRPr="006B7E21">
              <w:t>,</w:t>
            </w:r>
            <w:r w:rsidR="006B7E21" w:rsidRPr="006B7E21">
              <w:t>070</w:t>
            </w:r>
          </w:p>
        </w:tc>
      </w:tr>
      <w:tr w:rsidR="003C20D1" w:rsidRPr="0053635E" w:rsidTr="001B21ED">
        <w:trPr>
          <w:cantSplit/>
          <w:trHeight w:val="263"/>
          <w:jc w:val="center"/>
        </w:trPr>
        <w:tc>
          <w:tcPr>
            <w:tcW w:w="2011" w:type="pct"/>
            <w:tcBorders>
              <w:top w:val="nil"/>
              <w:left w:val="nil"/>
              <w:bottom w:val="nil"/>
              <w:right w:val="nil"/>
            </w:tcBorders>
          </w:tcPr>
          <w:p w:rsidR="003C20D1" w:rsidRPr="00ED1B4C" w:rsidRDefault="003C20D1" w:rsidP="003123B7">
            <w:pPr>
              <w:widowControl/>
              <w:suppressAutoHyphens/>
              <w:spacing w:after="20"/>
              <w:ind w:left="200" w:hanging="200"/>
            </w:pPr>
            <w:r w:rsidRPr="00ED1B4C">
              <w:rPr>
                <w:bCs/>
              </w:rPr>
              <w:t>Total member’s interest</w:t>
            </w:r>
            <w:r w:rsidRPr="00ED1B4C">
              <w:tab/>
            </w:r>
          </w:p>
        </w:tc>
        <w:tc>
          <w:tcPr>
            <w:tcW w:w="598" w:type="pct"/>
            <w:tcBorders>
              <w:top w:val="nil"/>
              <w:left w:val="nil"/>
              <w:bottom w:val="nil"/>
              <w:right w:val="nil"/>
            </w:tcBorders>
            <w:vAlign w:val="bottom"/>
          </w:tcPr>
          <w:p w:rsidR="003C20D1" w:rsidRPr="00C07AFB" w:rsidRDefault="00EA7EAB" w:rsidP="00C07AF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C07AFB">
              <w:t>5</w:t>
            </w:r>
            <w:r w:rsidR="00C07AFB" w:rsidRPr="00C07AFB">
              <w:t>3</w:t>
            </w:r>
            <w:r w:rsidRPr="00C07AFB">
              <w:t>1,</w:t>
            </w:r>
            <w:r w:rsidR="00C07AFB" w:rsidRPr="00C07AFB">
              <w:t>217</w:t>
            </w:r>
          </w:p>
        </w:tc>
        <w:tc>
          <w:tcPr>
            <w:tcW w:w="598" w:type="pct"/>
            <w:tcBorders>
              <w:top w:val="nil"/>
              <w:left w:val="nil"/>
              <w:bottom w:val="nil"/>
              <w:right w:val="nil"/>
            </w:tcBorders>
            <w:vAlign w:val="bottom"/>
          </w:tcPr>
          <w:p w:rsidR="003C20D1" w:rsidRPr="003E0CFF" w:rsidRDefault="00704A01" w:rsidP="003E0CF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E0CFF">
              <w:t>5</w:t>
            </w:r>
            <w:r w:rsidR="003E0CFF" w:rsidRPr="003E0CFF">
              <w:t>3</w:t>
            </w:r>
            <w:r w:rsidRPr="003E0CFF">
              <w:t>1,</w:t>
            </w:r>
            <w:r w:rsidR="003E0CFF" w:rsidRPr="003E0CFF">
              <w:t>217</w:t>
            </w:r>
          </w:p>
        </w:tc>
        <w:tc>
          <w:tcPr>
            <w:tcW w:w="598" w:type="pct"/>
            <w:tcBorders>
              <w:top w:val="nil"/>
              <w:left w:val="nil"/>
              <w:bottom w:val="nil"/>
              <w:right w:val="nil"/>
            </w:tcBorders>
            <w:vAlign w:val="bottom"/>
          </w:tcPr>
          <w:p w:rsidR="003C20D1" w:rsidRPr="00244F1B" w:rsidRDefault="00B87CCE" w:rsidP="00244F1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244F1B">
              <w:t>3</w:t>
            </w:r>
            <w:r w:rsidR="003C20D1" w:rsidRPr="00244F1B">
              <w:t>,</w:t>
            </w:r>
            <w:r w:rsidR="00244F1B" w:rsidRPr="00244F1B">
              <w:t>354</w:t>
            </w:r>
          </w:p>
        </w:tc>
        <w:tc>
          <w:tcPr>
            <w:tcW w:w="598" w:type="pct"/>
            <w:tcBorders>
              <w:top w:val="nil"/>
              <w:left w:val="nil"/>
              <w:bottom w:val="nil"/>
              <w:right w:val="nil"/>
            </w:tcBorders>
            <w:vAlign w:val="bottom"/>
          </w:tcPr>
          <w:p w:rsidR="003C20D1" w:rsidRPr="00DF7AA4" w:rsidRDefault="003C20D1" w:rsidP="00DF7AA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F7AA4">
              <w:t>(</w:t>
            </w:r>
            <w:r w:rsidR="000F10CC" w:rsidRPr="00DF7AA4">
              <w:t>5</w:t>
            </w:r>
            <w:r w:rsidR="00DF7AA4" w:rsidRPr="00DF7AA4">
              <w:t>3</w:t>
            </w:r>
            <w:r w:rsidR="000F10CC" w:rsidRPr="00DF7AA4">
              <w:t>4,</w:t>
            </w:r>
            <w:r w:rsidR="00DF7AA4" w:rsidRPr="00DF7AA4">
              <w:t>571</w:t>
            </w:r>
            <w:r w:rsidRPr="00DF7AA4">
              <w:t>)</w:t>
            </w:r>
          </w:p>
        </w:tc>
        <w:tc>
          <w:tcPr>
            <w:tcW w:w="597" w:type="pct"/>
            <w:tcBorders>
              <w:top w:val="nil"/>
              <w:left w:val="nil"/>
              <w:bottom w:val="nil"/>
              <w:right w:val="nil"/>
            </w:tcBorders>
            <w:vAlign w:val="bottom"/>
          </w:tcPr>
          <w:p w:rsidR="003C20D1" w:rsidRPr="006B7E21" w:rsidRDefault="00704A01" w:rsidP="006B7E2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6B7E21">
              <w:t>5</w:t>
            </w:r>
            <w:r w:rsidR="006B7E21" w:rsidRPr="006B7E21">
              <w:t>3</w:t>
            </w:r>
            <w:r w:rsidRPr="006B7E21">
              <w:t>1,</w:t>
            </w:r>
            <w:r w:rsidR="006B7E21" w:rsidRPr="006B7E21">
              <w:t>217</w:t>
            </w:r>
          </w:p>
        </w:tc>
      </w:tr>
      <w:tr w:rsidR="003C20D1" w:rsidRPr="0053635E" w:rsidTr="001B21ED">
        <w:trPr>
          <w:cantSplit/>
          <w:trHeight w:val="309"/>
          <w:jc w:val="center"/>
        </w:trPr>
        <w:tc>
          <w:tcPr>
            <w:tcW w:w="2011" w:type="pct"/>
            <w:tcBorders>
              <w:top w:val="nil"/>
              <w:left w:val="nil"/>
              <w:bottom w:val="nil"/>
              <w:right w:val="nil"/>
            </w:tcBorders>
          </w:tcPr>
          <w:p w:rsidR="003C20D1" w:rsidRPr="00ED1B4C" w:rsidRDefault="003C20D1" w:rsidP="00441BCF">
            <w:pPr>
              <w:widowControl/>
              <w:suppressAutoHyphens/>
              <w:spacing w:after="40"/>
              <w:ind w:left="200" w:hanging="200"/>
            </w:pPr>
            <w:r w:rsidRPr="00ED1B4C">
              <w:rPr>
                <w:bCs/>
              </w:rPr>
              <w:t>Total l</w:t>
            </w:r>
            <w:r w:rsidR="00441BCF" w:rsidRPr="00ED1B4C">
              <w:rPr>
                <w:bCs/>
              </w:rPr>
              <w:t>i</w:t>
            </w:r>
            <w:r w:rsidRPr="00ED1B4C">
              <w:rPr>
                <w:bCs/>
              </w:rPr>
              <w:t>abilities and member’s interest</w:t>
            </w:r>
            <w:r w:rsidRPr="00ED1B4C">
              <w:tab/>
            </w:r>
          </w:p>
        </w:tc>
        <w:tc>
          <w:tcPr>
            <w:tcW w:w="598" w:type="pct"/>
            <w:tcBorders>
              <w:top w:val="nil"/>
              <w:left w:val="nil"/>
              <w:bottom w:val="nil"/>
              <w:right w:val="nil"/>
            </w:tcBorders>
            <w:vAlign w:val="bottom"/>
          </w:tcPr>
          <w:p w:rsidR="003C20D1" w:rsidRPr="00C07AFB" w:rsidRDefault="003C20D1" w:rsidP="00C07AF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C07AFB">
              <w:t>$</w:t>
            </w:r>
            <w:r w:rsidR="000B08F4" w:rsidRPr="00C07AFB">
              <w:t xml:space="preserve">      </w:t>
            </w:r>
            <w:r w:rsidR="00EA7EAB" w:rsidRPr="00C07AFB">
              <w:t>8</w:t>
            </w:r>
            <w:r w:rsidR="00C07AFB" w:rsidRPr="00C07AFB">
              <w:t>3</w:t>
            </w:r>
            <w:r w:rsidR="00EA7EAB" w:rsidRPr="00C07AFB">
              <w:t>5,</w:t>
            </w:r>
            <w:r w:rsidR="00C07AFB" w:rsidRPr="00C07AFB">
              <w:t>434</w:t>
            </w:r>
          </w:p>
        </w:tc>
        <w:tc>
          <w:tcPr>
            <w:tcW w:w="598" w:type="pct"/>
            <w:tcBorders>
              <w:top w:val="nil"/>
              <w:left w:val="nil"/>
              <w:bottom w:val="nil"/>
              <w:right w:val="nil"/>
            </w:tcBorders>
            <w:vAlign w:val="bottom"/>
          </w:tcPr>
          <w:p w:rsidR="003C20D1" w:rsidRPr="003E0CFF" w:rsidRDefault="003C20D1" w:rsidP="003E0CFF">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3E0CFF">
              <w:t>$</w:t>
            </w:r>
            <w:r w:rsidR="000B08F4" w:rsidRPr="003E0CFF">
              <w:t xml:space="preserve">   </w:t>
            </w:r>
            <w:r w:rsidRPr="003E0CFF">
              <w:t>1,</w:t>
            </w:r>
            <w:r w:rsidR="00D778F4" w:rsidRPr="003E0CFF">
              <w:t>8</w:t>
            </w:r>
            <w:r w:rsidR="003E0CFF" w:rsidRPr="003E0CFF">
              <w:t>2</w:t>
            </w:r>
            <w:r w:rsidR="00893511" w:rsidRPr="003E0CFF">
              <w:t>6</w:t>
            </w:r>
            <w:r w:rsidRPr="003E0CFF">
              <w:t>,</w:t>
            </w:r>
            <w:r w:rsidR="003E0CFF" w:rsidRPr="003E0CFF">
              <w:t>310</w:t>
            </w:r>
          </w:p>
        </w:tc>
        <w:tc>
          <w:tcPr>
            <w:tcW w:w="598" w:type="pct"/>
            <w:tcBorders>
              <w:top w:val="nil"/>
              <w:left w:val="nil"/>
              <w:bottom w:val="nil"/>
              <w:right w:val="nil"/>
            </w:tcBorders>
            <w:vAlign w:val="bottom"/>
          </w:tcPr>
          <w:p w:rsidR="003C20D1" w:rsidRPr="00244F1B" w:rsidRDefault="003C20D1" w:rsidP="00244F1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244F1B">
              <w:t>$</w:t>
            </w:r>
            <w:r w:rsidR="000B08F4" w:rsidRPr="00244F1B">
              <w:t xml:space="preserve">  </w:t>
            </w:r>
            <w:r w:rsidR="00033CA5" w:rsidRPr="00244F1B">
              <w:t xml:space="preserve"> </w:t>
            </w:r>
            <w:r w:rsidR="000B08F4" w:rsidRPr="00244F1B">
              <w:t xml:space="preserve">     </w:t>
            </w:r>
            <w:r w:rsidRPr="00244F1B">
              <w:t>1</w:t>
            </w:r>
            <w:r w:rsidR="00244F1B" w:rsidRPr="00244F1B">
              <w:t>5</w:t>
            </w:r>
            <w:r w:rsidRPr="00244F1B">
              <w:t>,</w:t>
            </w:r>
            <w:r w:rsidR="00244F1B" w:rsidRPr="00244F1B">
              <w:t>407</w:t>
            </w:r>
          </w:p>
        </w:tc>
        <w:tc>
          <w:tcPr>
            <w:tcW w:w="598" w:type="pct"/>
            <w:tcBorders>
              <w:top w:val="nil"/>
              <w:left w:val="nil"/>
              <w:bottom w:val="nil"/>
              <w:right w:val="nil"/>
            </w:tcBorders>
            <w:vAlign w:val="bottom"/>
          </w:tcPr>
          <w:p w:rsidR="003C20D1" w:rsidRPr="00DF7AA4" w:rsidRDefault="003C20D1" w:rsidP="00DF7AA4">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DF7AA4">
              <w:t>$</w:t>
            </w:r>
            <w:r w:rsidR="000B08F4" w:rsidRPr="00DF7AA4">
              <w:t xml:space="preserve">   </w:t>
            </w:r>
            <w:r w:rsidRPr="00DF7AA4">
              <w:t>(</w:t>
            </w:r>
            <w:r w:rsidR="000F10CC" w:rsidRPr="00DF7AA4">
              <w:t>8</w:t>
            </w:r>
            <w:r w:rsidR="00DF7AA4" w:rsidRPr="00DF7AA4">
              <w:t>48</w:t>
            </w:r>
            <w:r w:rsidR="000F10CC" w:rsidRPr="00DF7AA4">
              <w:t>,</w:t>
            </w:r>
            <w:r w:rsidR="00DF7AA4" w:rsidRPr="00DF7AA4">
              <w:t>864</w:t>
            </w:r>
            <w:r w:rsidRPr="00DF7AA4">
              <w:t>)</w:t>
            </w:r>
          </w:p>
        </w:tc>
        <w:tc>
          <w:tcPr>
            <w:tcW w:w="597" w:type="pct"/>
            <w:tcBorders>
              <w:top w:val="nil"/>
              <w:left w:val="nil"/>
              <w:bottom w:val="nil"/>
              <w:right w:val="nil"/>
            </w:tcBorders>
            <w:vAlign w:val="bottom"/>
          </w:tcPr>
          <w:p w:rsidR="003C20D1" w:rsidRPr="006B7E21" w:rsidRDefault="003C20D1" w:rsidP="006B7E2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6B7E21">
              <w:t>$</w:t>
            </w:r>
            <w:r w:rsidR="000B08F4" w:rsidRPr="006B7E21">
              <w:t xml:space="preserve">   </w:t>
            </w:r>
            <w:r w:rsidRPr="006B7E21">
              <w:t>1,</w:t>
            </w:r>
            <w:r w:rsidR="00E23DC5" w:rsidRPr="006B7E21">
              <w:t>8</w:t>
            </w:r>
            <w:r w:rsidR="006B7E21" w:rsidRPr="006B7E21">
              <w:t>2</w:t>
            </w:r>
            <w:r w:rsidR="007B1C89" w:rsidRPr="006B7E21">
              <w:t>8</w:t>
            </w:r>
            <w:r w:rsidRPr="006B7E21">
              <w:t>,</w:t>
            </w:r>
            <w:r w:rsidR="006B7E21" w:rsidRPr="006B7E21">
              <w:t>287</w:t>
            </w:r>
          </w:p>
        </w:tc>
      </w:tr>
    </w:tbl>
    <w:p w:rsidR="00441BCF" w:rsidRPr="0053635E" w:rsidRDefault="00441BCF" w:rsidP="003C20D1">
      <w:pPr>
        <w:keepNext/>
        <w:keepLines/>
        <w:widowControl/>
        <w:tabs>
          <w:tab w:val="left" w:pos="720"/>
          <w:tab w:val="left" w:pos="1440"/>
          <w:tab w:val="center" w:pos="5400"/>
        </w:tabs>
        <w:suppressAutoHyphens/>
        <w:rPr>
          <w:b/>
          <w:bCs/>
          <w:highlight w:val="yellow"/>
        </w:rPr>
      </w:pPr>
    </w:p>
    <w:p w:rsidR="00441BCF" w:rsidRPr="0053635E" w:rsidRDefault="00441BCF" w:rsidP="003C20D1">
      <w:pPr>
        <w:keepNext/>
        <w:keepLines/>
        <w:widowControl/>
        <w:tabs>
          <w:tab w:val="left" w:pos="720"/>
          <w:tab w:val="left" w:pos="1440"/>
          <w:tab w:val="center" w:pos="5400"/>
        </w:tabs>
        <w:suppressAutoHyphens/>
        <w:rPr>
          <w:b/>
          <w:bCs/>
          <w:highlight w:val="yellow"/>
        </w:rPr>
      </w:pPr>
    </w:p>
    <w:p w:rsidR="001B21ED" w:rsidRPr="0053635E" w:rsidRDefault="001B21ED" w:rsidP="00441BCF">
      <w:pPr>
        <w:keepNext/>
        <w:keepLines/>
        <w:widowControl/>
        <w:tabs>
          <w:tab w:val="left" w:pos="720"/>
          <w:tab w:val="left" w:pos="1440"/>
          <w:tab w:val="center" w:pos="5400"/>
        </w:tabs>
        <w:suppressAutoHyphens/>
        <w:rPr>
          <w:b/>
          <w:bCs/>
          <w:highlight w:val="yellow"/>
        </w:rPr>
      </w:pPr>
    </w:p>
    <w:p w:rsidR="001B21ED" w:rsidRPr="0053635E" w:rsidRDefault="001B21ED" w:rsidP="00441BCF">
      <w:pPr>
        <w:widowControl/>
        <w:tabs>
          <w:tab w:val="center" w:pos="0"/>
        </w:tabs>
        <w:suppressAutoHyphens/>
        <w:rPr>
          <w:b/>
          <w:bCs/>
          <w:sz w:val="22"/>
          <w:highlight w:val="yellow"/>
        </w:rPr>
      </w:pPr>
    </w:p>
    <w:p w:rsidR="001B21ED" w:rsidRPr="0053635E" w:rsidRDefault="001B21ED" w:rsidP="00441BCF">
      <w:pPr>
        <w:widowControl/>
        <w:tabs>
          <w:tab w:val="center" w:pos="0"/>
        </w:tabs>
        <w:suppressAutoHyphens/>
        <w:rPr>
          <w:b/>
          <w:bCs/>
          <w:sz w:val="22"/>
          <w:highlight w:val="yellow"/>
        </w:rPr>
      </w:pPr>
    </w:p>
    <w:p w:rsidR="001B21ED" w:rsidRPr="0053635E" w:rsidRDefault="001B21ED" w:rsidP="00441BCF">
      <w:pPr>
        <w:widowControl/>
        <w:tabs>
          <w:tab w:val="center" w:pos="0"/>
        </w:tabs>
        <w:suppressAutoHyphens/>
        <w:rPr>
          <w:b/>
          <w:bCs/>
          <w:sz w:val="22"/>
          <w:highlight w:val="yellow"/>
        </w:rPr>
      </w:pPr>
    </w:p>
    <w:p w:rsidR="001B21ED" w:rsidRPr="0053635E" w:rsidRDefault="001B21ED" w:rsidP="00441BCF">
      <w:pPr>
        <w:widowControl/>
        <w:tabs>
          <w:tab w:val="center" w:pos="0"/>
        </w:tabs>
        <w:suppressAutoHyphens/>
        <w:rPr>
          <w:b/>
          <w:bCs/>
          <w:sz w:val="22"/>
          <w:highlight w:val="yellow"/>
        </w:rPr>
      </w:pPr>
    </w:p>
    <w:p w:rsidR="001B21ED" w:rsidRPr="0053635E" w:rsidRDefault="001B21ED" w:rsidP="00441BCF">
      <w:pPr>
        <w:widowControl/>
        <w:tabs>
          <w:tab w:val="center" w:pos="0"/>
        </w:tabs>
        <w:suppressAutoHyphens/>
        <w:rPr>
          <w:b/>
          <w:bCs/>
          <w:sz w:val="22"/>
          <w:highlight w:val="yellow"/>
        </w:rPr>
      </w:pPr>
    </w:p>
    <w:p w:rsidR="001B21ED" w:rsidRDefault="001B21ED" w:rsidP="00441BCF">
      <w:pPr>
        <w:widowControl/>
        <w:tabs>
          <w:tab w:val="center" w:pos="0"/>
        </w:tabs>
        <w:suppressAutoHyphens/>
        <w:rPr>
          <w:b/>
          <w:bCs/>
          <w:sz w:val="22"/>
          <w:highlight w:val="yellow"/>
        </w:rPr>
      </w:pPr>
    </w:p>
    <w:p w:rsidR="00DC2F3A" w:rsidRPr="0053635E" w:rsidRDefault="00DC2F3A" w:rsidP="00441BCF">
      <w:pPr>
        <w:widowControl/>
        <w:tabs>
          <w:tab w:val="center" w:pos="0"/>
        </w:tabs>
        <w:suppressAutoHyphens/>
        <w:rPr>
          <w:b/>
          <w:bCs/>
          <w:sz w:val="22"/>
          <w:highlight w:val="yellow"/>
        </w:rPr>
      </w:pPr>
    </w:p>
    <w:p w:rsidR="00441BCF" w:rsidRPr="00ED1B4C" w:rsidRDefault="001B21ED" w:rsidP="00441BCF">
      <w:pPr>
        <w:widowControl/>
        <w:tabs>
          <w:tab w:val="center" w:pos="0"/>
        </w:tabs>
        <w:suppressAutoHyphens/>
        <w:rPr>
          <w:b/>
          <w:bCs/>
          <w:sz w:val="22"/>
        </w:rPr>
      </w:pPr>
      <w:r w:rsidRPr="00ED1B4C">
        <w:rPr>
          <w:b/>
          <w:bCs/>
          <w:sz w:val="22"/>
        </w:rPr>
        <w:lastRenderedPageBreak/>
        <w:t>1</w:t>
      </w:r>
      <w:r w:rsidR="00967665">
        <w:rPr>
          <w:b/>
          <w:bCs/>
          <w:sz w:val="22"/>
        </w:rPr>
        <w:t>4</w:t>
      </w:r>
      <w:r w:rsidR="00441BCF" w:rsidRPr="00ED1B4C">
        <w:rPr>
          <w:b/>
          <w:bCs/>
          <w:sz w:val="22"/>
        </w:rPr>
        <w:t>. Guarantor Financial Information (continued)</w:t>
      </w:r>
    </w:p>
    <w:p w:rsidR="00441BCF" w:rsidRPr="00ED1B4C" w:rsidRDefault="00441BCF" w:rsidP="003C20D1">
      <w:pPr>
        <w:widowControl/>
        <w:tabs>
          <w:tab w:val="center" w:pos="5400"/>
        </w:tabs>
        <w:suppressAutoHyphens/>
        <w:jc w:val="center"/>
        <w:rPr>
          <w:b/>
          <w:bCs/>
        </w:rPr>
      </w:pPr>
    </w:p>
    <w:p w:rsidR="00441BCF" w:rsidRPr="00ED1B4C" w:rsidRDefault="00441BCF" w:rsidP="003C20D1">
      <w:pPr>
        <w:widowControl/>
        <w:tabs>
          <w:tab w:val="center" w:pos="5400"/>
        </w:tabs>
        <w:suppressAutoHyphens/>
        <w:jc w:val="center"/>
        <w:rPr>
          <w:b/>
          <w:bCs/>
        </w:rPr>
      </w:pPr>
    </w:p>
    <w:p w:rsidR="00441BCF" w:rsidRPr="00ED1B4C" w:rsidRDefault="00441BCF" w:rsidP="003C20D1">
      <w:pPr>
        <w:widowControl/>
        <w:tabs>
          <w:tab w:val="center" w:pos="5400"/>
        </w:tabs>
        <w:suppressAutoHyphens/>
        <w:jc w:val="center"/>
        <w:rPr>
          <w:b/>
          <w:bCs/>
        </w:rPr>
      </w:pPr>
      <w:r w:rsidRPr="00ED1B4C">
        <w:rPr>
          <w:b/>
          <w:bCs/>
        </w:rPr>
        <w:t>TRAC Intermodal LLC</w:t>
      </w:r>
    </w:p>
    <w:p w:rsidR="00441BCF" w:rsidRPr="00ED1B4C" w:rsidRDefault="00441BCF" w:rsidP="003C20D1">
      <w:pPr>
        <w:widowControl/>
        <w:tabs>
          <w:tab w:val="center" w:pos="5400"/>
        </w:tabs>
        <w:suppressAutoHyphens/>
        <w:jc w:val="center"/>
        <w:rPr>
          <w:b/>
          <w:bCs/>
        </w:rPr>
      </w:pPr>
      <w:r w:rsidRPr="00ED1B4C">
        <w:rPr>
          <w:b/>
          <w:bCs/>
        </w:rPr>
        <w:t>Condensed Consolidating Statements of Operations</w:t>
      </w:r>
    </w:p>
    <w:p w:rsidR="003C20D1" w:rsidRPr="00ED1B4C" w:rsidRDefault="003C20D1" w:rsidP="003C20D1">
      <w:pPr>
        <w:widowControl/>
        <w:tabs>
          <w:tab w:val="center" w:pos="5400"/>
        </w:tabs>
        <w:suppressAutoHyphens/>
        <w:jc w:val="center"/>
        <w:rPr>
          <w:b/>
          <w:bCs/>
        </w:rPr>
      </w:pPr>
      <w:r w:rsidRPr="00ED1B4C">
        <w:rPr>
          <w:b/>
          <w:bCs/>
        </w:rPr>
        <w:t>and Comprehensive Income</w:t>
      </w:r>
    </w:p>
    <w:p w:rsidR="003C20D1" w:rsidRPr="00ED1B4C" w:rsidRDefault="003C20D1" w:rsidP="003C20D1">
      <w:pPr>
        <w:widowControl/>
        <w:tabs>
          <w:tab w:val="center" w:pos="5400"/>
        </w:tabs>
        <w:suppressAutoHyphens/>
        <w:spacing w:after="240"/>
        <w:jc w:val="center"/>
        <w:rPr>
          <w:b/>
          <w:bCs/>
        </w:rPr>
      </w:pPr>
      <w:r w:rsidRPr="00ED1B4C">
        <w:rPr>
          <w:b/>
          <w:bCs/>
        </w:rPr>
        <w:t xml:space="preserve">For The Three Months Ended </w:t>
      </w:r>
      <w:r w:rsidR="00ED1B4C">
        <w:rPr>
          <w:b/>
          <w:bCs/>
        </w:rPr>
        <w:t>March</w:t>
      </w:r>
      <w:r w:rsidRPr="00ED1B4C">
        <w:rPr>
          <w:b/>
          <w:bCs/>
        </w:rPr>
        <w:t> 3</w:t>
      </w:r>
      <w:r w:rsidR="00ED1B4C">
        <w:rPr>
          <w:b/>
          <w:bCs/>
        </w:rPr>
        <w:t>1</w:t>
      </w:r>
      <w:r w:rsidRPr="00ED1B4C">
        <w:rPr>
          <w:b/>
          <w:bCs/>
        </w:rPr>
        <w:t>, 201</w:t>
      </w:r>
      <w:r w:rsidR="00ED1B4C">
        <w:rPr>
          <w:b/>
          <w:bCs/>
        </w:rPr>
        <w:t>4</w:t>
      </w:r>
    </w:p>
    <w:p w:rsidR="003C20D1" w:rsidRPr="00ED1B4C" w:rsidRDefault="003C20D1" w:rsidP="00744A72">
      <w:pPr>
        <w:widowControl/>
        <w:tabs>
          <w:tab w:val="center" w:pos="5400"/>
        </w:tabs>
        <w:suppressAutoHyphens/>
        <w:spacing w:after="240"/>
        <w:jc w:val="center"/>
        <w:rPr>
          <w:b/>
          <w:bCs/>
        </w:rPr>
      </w:pPr>
    </w:p>
    <w:tbl>
      <w:tblPr>
        <w:tblW w:w="5000" w:type="pct"/>
        <w:jc w:val="center"/>
        <w:tblCellMar>
          <w:left w:w="72" w:type="dxa"/>
          <w:right w:w="72" w:type="dxa"/>
        </w:tblCellMar>
        <w:tblLook w:val="0000" w:firstRow="0" w:lastRow="0" w:firstColumn="0" w:lastColumn="0" w:noHBand="0" w:noVBand="0"/>
      </w:tblPr>
      <w:tblGrid>
        <w:gridCol w:w="4001"/>
        <w:gridCol w:w="1244"/>
        <w:gridCol w:w="1244"/>
        <w:gridCol w:w="1245"/>
        <w:gridCol w:w="1245"/>
        <w:gridCol w:w="1245"/>
      </w:tblGrid>
      <w:tr w:rsidR="00CA14BE" w:rsidRPr="0053635E" w:rsidTr="00BC446E">
        <w:trPr>
          <w:cantSplit/>
          <w:jc w:val="center"/>
        </w:trPr>
        <w:tc>
          <w:tcPr>
            <w:tcW w:w="1125" w:type="pct"/>
            <w:tcBorders>
              <w:top w:val="nil"/>
              <w:left w:val="nil"/>
              <w:bottom w:val="nil"/>
              <w:right w:val="nil"/>
            </w:tcBorders>
            <w:vAlign w:val="bottom"/>
          </w:tcPr>
          <w:p w:rsidR="00CA14BE" w:rsidRPr="00ED1B4C"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p>
        </w:tc>
        <w:tc>
          <w:tcPr>
            <w:tcW w:w="350" w:type="pct"/>
            <w:tcBorders>
              <w:top w:val="nil"/>
              <w:left w:val="nil"/>
              <w:bottom w:val="nil"/>
              <w:right w:val="nil"/>
            </w:tcBorders>
            <w:vAlign w:val="bottom"/>
          </w:tcPr>
          <w:p w:rsidR="00CA14BE" w:rsidRPr="0094358E" w:rsidRDefault="00E25893"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94358E">
              <w:rPr>
                <w:b/>
                <w:bCs/>
                <w:sz w:val="16"/>
                <w:szCs w:val="18"/>
              </w:rPr>
              <w:t>Company</w:t>
            </w:r>
            <w:r w:rsidR="00744A72" w:rsidRPr="0094358E">
              <w:rPr>
                <w:b/>
                <w:bCs/>
                <w:sz w:val="16"/>
                <w:szCs w:val="18"/>
              </w:rPr>
              <w:br/>
            </w:r>
            <w:r w:rsidR="00CA14BE" w:rsidRPr="0094358E">
              <w:rPr>
                <w:b/>
                <w:bCs/>
                <w:sz w:val="16"/>
                <w:szCs w:val="18"/>
              </w:rPr>
              <w:t>Parent</w:t>
            </w:r>
          </w:p>
        </w:tc>
        <w:tc>
          <w:tcPr>
            <w:tcW w:w="350" w:type="pct"/>
            <w:tcBorders>
              <w:top w:val="nil"/>
              <w:left w:val="nil"/>
              <w:bottom w:val="nil"/>
              <w:right w:val="nil"/>
            </w:tcBorders>
            <w:vAlign w:val="bottom"/>
          </w:tcPr>
          <w:p w:rsidR="00CA14BE" w:rsidRPr="00ED1B4C"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D1B4C">
              <w:rPr>
                <w:b/>
                <w:bCs/>
                <w:sz w:val="16"/>
                <w:szCs w:val="18"/>
              </w:rPr>
              <w:t>Guarantor</w:t>
            </w:r>
            <w:r w:rsidR="00744A72" w:rsidRPr="00ED1B4C">
              <w:rPr>
                <w:b/>
                <w:bCs/>
                <w:sz w:val="16"/>
                <w:szCs w:val="18"/>
              </w:rPr>
              <w:br/>
            </w:r>
            <w:r w:rsidRPr="00ED1B4C">
              <w:rPr>
                <w:b/>
                <w:bCs/>
                <w:sz w:val="16"/>
                <w:szCs w:val="18"/>
              </w:rPr>
              <w:t>Subsidiaries</w:t>
            </w:r>
          </w:p>
        </w:tc>
        <w:tc>
          <w:tcPr>
            <w:tcW w:w="350" w:type="pct"/>
            <w:tcBorders>
              <w:top w:val="nil"/>
              <w:left w:val="nil"/>
              <w:bottom w:val="nil"/>
              <w:right w:val="nil"/>
            </w:tcBorders>
            <w:vAlign w:val="bottom"/>
          </w:tcPr>
          <w:p w:rsidR="00CA14BE" w:rsidRPr="00ED1B4C"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D1B4C">
              <w:rPr>
                <w:b/>
                <w:bCs/>
                <w:sz w:val="16"/>
                <w:szCs w:val="18"/>
              </w:rPr>
              <w:t>Non</w:t>
            </w:r>
            <w:r w:rsidR="00744A72" w:rsidRPr="00ED1B4C">
              <w:rPr>
                <w:b/>
                <w:bCs/>
                <w:sz w:val="16"/>
                <w:szCs w:val="18"/>
              </w:rPr>
              <w:t>-</w:t>
            </w:r>
            <w:r w:rsidRPr="00ED1B4C">
              <w:rPr>
                <w:b/>
                <w:bCs/>
                <w:sz w:val="16"/>
                <w:szCs w:val="18"/>
              </w:rPr>
              <w:t>Guarantor</w:t>
            </w:r>
            <w:r w:rsidR="00744A72" w:rsidRPr="00ED1B4C">
              <w:rPr>
                <w:b/>
                <w:bCs/>
                <w:sz w:val="16"/>
                <w:szCs w:val="18"/>
              </w:rPr>
              <w:br/>
            </w:r>
            <w:r w:rsidRPr="00ED1B4C">
              <w:rPr>
                <w:b/>
                <w:bCs/>
                <w:sz w:val="16"/>
                <w:szCs w:val="18"/>
              </w:rPr>
              <w:t>Subsidiaries</w:t>
            </w:r>
          </w:p>
        </w:tc>
        <w:tc>
          <w:tcPr>
            <w:tcW w:w="350" w:type="pct"/>
            <w:tcBorders>
              <w:top w:val="nil"/>
              <w:left w:val="nil"/>
              <w:bottom w:val="nil"/>
              <w:right w:val="nil"/>
            </w:tcBorders>
            <w:vAlign w:val="bottom"/>
          </w:tcPr>
          <w:p w:rsidR="00CA14BE" w:rsidRPr="00ED1B4C"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D1B4C">
              <w:rPr>
                <w:b/>
                <w:bCs/>
                <w:sz w:val="16"/>
                <w:szCs w:val="18"/>
              </w:rPr>
              <w:t>Eliminations</w:t>
            </w:r>
          </w:p>
        </w:tc>
        <w:tc>
          <w:tcPr>
            <w:tcW w:w="350" w:type="pct"/>
            <w:tcBorders>
              <w:top w:val="nil"/>
              <w:left w:val="nil"/>
              <w:bottom w:val="nil"/>
              <w:right w:val="nil"/>
            </w:tcBorders>
            <w:vAlign w:val="bottom"/>
          </w:tcPr>
          <w:p w:rsidR="00CA14BE" w:rsidRPr="00ED1B4C"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D1B4C">
              <w:rPr>
                <w:b/>
                <w:bCs/>
                <w:sz w:val="16"/>
                <w:szCs w:val="18"/>
              </w:rPr>
              <w:t>Consolidated</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0B08F4">
            <w:pPr>
              <w:widowControl/>
              <w:suppressAutoHyphens/>
              <w:ind w:left="200" w:hanging="200"/>
            </w:pPr>
            <w:r w:rsidRPr="00ED1B4C">
              <w:rPr>
                <w:b/>
                <w:bCs/>
              </w:rPr>
              <w:t xml:space="preserve">Total </w:t>
            </w:r>
            <w:r w:rsidR="004E076E" w:rsidRPr="00ED1B4C">
              <w:rPr>
                <w:b/>
                <w:bCs/>
              </w:rPr>
              <w:t>r</w:t>
            </w:r>
            <w:r w:rsidRPr="00ED1B4C">
              <w:rPr>
                <w:b/>
                <w:bCs/>
              </w:rPr>
              <w:t>evenue</w:t>
            </w:r>
            <w:r w:rsidRPr="00ED1B4C">
              <w:tab/>
            </w:r>
          </w:p>
        </w:tc>
        <w:tc>
          <w:tcPr>
            <w:tcW w:w="350" w:type="pct"/>
            <w:tcBorders>
              <w:top w:val="nil"/>
              <w:left w:val="nil"/>
              <w:bottom w:val="nil"/>
              <w:right w:val="nil"/>
            </w:tcBorders>
            <w:vAlign w:val="bottom"/>
          </w:tcPr>
          <w:p w:rsidR="00CA14BE" w:rsidRPr="0094358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r w:rsidR="003A49B6" w:rsidRPr="0094358E">
              <w:t xml:space="preserve">                </w:t>
            </w:r>
            <w:r w:rsidR="00744A72" w:rsidRPr="0094358E">
              <w:t>—</w:t>
            </w:r>
          </w:p>
        </w:tc>
        <w:tc>
          <w:tcPr>
            <w:tcW w:w="350" w:type="pct"/>
            <w:tcBorders>
              <w:top w:val="nil"/>
              <w:left w:val="nil"/>
              <w:bottom w:val="nil"/>
              <w:right w:val="nil"/>
            </w:tcBorders>
            <w:vAlign w:val="bottom"/>
          </w:tcPr>
          <w:p w:rsidR="00CA14BE" w:rsidRPr="0094358E" w:rsidRDefault="00CA14BE"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r w:rsidR="003A49B6" w:rsidRPr="0094358E">
              <w:t xml:space="preserve">       </w:t>
            </w:r>
            <w:r w:rsidR="007B18E8" w:rsidRPr="0094358E">
              <w:t>1</w:t>
            </w:r>
            <w:r w:rsidR="00C224C5" w:rsidRPr="0094358E">
              <w:t>3</w:t>
            </w:r>
            <w:r w:rsidR="0094358E" w:rsidRPr="0094358E">
              <w:t>8</w:t>
            </w:r>
            <w:r w:rsidR="004D2493" w:rsidRPr="0094358E">
              <w:t>,</w:t>
            </w:r>
            <w:r w:rsidR="0094358E" w:rsidRPr="0094358E">
              <w:t>950</w:t>
            </w:r>
          </w:p>
        </w:tc>
        <w:tc>
          <w:tcPr>
            <w:tcW w:w="350" w:type="pct"/>
            <w:tcBorders>
              <w:top w:val="nil"/>
              <w:left w:val="nil"/>
              <w:bottom w:val="nil"/>
              <w:right w:val="nil"/>
            </w:tcBorders>
            <w:vAlign w:val="bottom"/>
          </w:tcPr>
          <w:p w:rsidR="00CA14BE" w:rsidRPr="00584C02" w:rsidRDefault="004D2493" w:rsidP="00584C0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w:t>
            </w:r>
            <w:r w:rsidR="003A49B6" w:rsidRPr="00584C02">
              <w:t xml:space="preserve">              </w:t>
            </w:r>
            <w:r w:rsidR="0094358E" w:rsidRPr="00584C02">
              <w:t>77</w:t>
            </w:r>
            <w:r w:rsidR="00584C02" w:rsidRPr="00584C02">
              <w:t>4</w:t>
            </w:r>
          </w:p>
        </w:tc>
        <w:tc>
          <w:tcPr>
            <w:tcW w:w="350" w:type="pct"/>
            <w:tcBorders>
              <w:top w:val="nil"/>
              <w:left w:val="nil"/>
              <w:bottom w:val="nil"/>
              <w:right w:val="nil"/>
            </w:tcBorders>
            <w:vAlign w:val="bottom"/>
          </w:tcPr>
          <w:p w:rsidR="00CA14BE" w:rsidRPr="00584C02" w:rsidRDefault="004D2493" w:rsidP="00584C0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w:t>
            </w:r>
            <w:r w:rsidR="003A49B6" w:rsidRPr="00584C02">
              <w:t xml:space="preserve">             </w:t>
            </w:r>
            <w:r w:rsidRPr="00584C02">
              <w:t>(</w:t>
            </w:r>
            <w:r w:rsidR="00A279D3" w:rsidRPr="00584C02">
              <w:t>7</w:t>
            </w:r>
            <w:r w:rsidR="00584C02" w:rsidRPr="00584C02">
              <w:t>3</w:t>
            </w:r>
            <w:r w:rsidR="00CA14BE" w:rsidRPr="00584C02">
              <w:t>)</w:t>
            </w:r>
          </w:p>
        </w:tc>
        <w:tc>
          <w:tcPr>
            <w:tcW w:w="350" w:type="pct"/>
            <w:tcBorders>
              <w:top w:val="nil"/>
              <w:left w:val="nil"/>
              <w:bottom w:val="nil"/>
              <w:right w:val="nil"/>
            </w:tcBorders>
            <w:vAlign w:val="bottom"/>
          </w:tcPr>
          <w:p w:rsidR="00CA14BE" w:rsidRPr="00584C02" w:rsidRDefault="00CA14BE"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w:t>
            </w:r>
            <w:r w:rsidR="003A49B6" w:rsidRPr="00584C02">
              <w:t xml:space="preserve">       </w:t>
            </w:r>
            <w:r w:rsidR="00A279D3" w:rsidRPr="00584C02">
              <w:t>1</w:t>
            </w:r>
            <w:r w:rsidR="00E92811" w:rsidRPr="00584C02">
              <w:t>3</w:t>
            </w:r>
            <w:r w:rsidR="00DC2F3A" w:rsidRPr="00584C02">
              <w:t>9</w:t>
            </w:r>
            <w:r w:rsidR="004D2493" w:rsidRPr="00584C02">
              <w:t>,</w:t>
            </w:r>
            <w:r w:rsidR="00DC2F3A" w:rsidRPr="00584C02">
              <w:t>651</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0B08F4">
            <w:pPr>
              <w:widowControl/>
              <w:suppressAutoHyphens/>
              <w:ind w:left="200" w:hanging="200"/>
            </w:pPr>
            <w:r w:rsidRPr="00ED1B4C">
              <w:t>Direct operating expenses</w:t>
            </w:r>
            <w:r w:rsidRPr="00ED1B4C">
              <w:tab/>
            </w:r>
          </w:p>
        </w:tc>
        <w:tc>
          <w:tcPr>
            <w:tcW w:w="350" w:type="pct"/>
            <w:tcBorders>
              <w:top w:val="nil"/>
              <w:left w:val="nil"/>
              <w:bottom w:val="nil"/>
              <w:right w:val="nil"/>
            </w:tcBorders>
            <w:vAlign w:val="bottom"/>
          </w:tcPr>
          <w:p w:rsidR="00CA14BE" w:rsidRPr="0094358E"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p>
        </w:tc>
        <w:tc>
          <w:tcPr>
            <w:tcW w:w="350" w:type="pct"/>
            <w:tcBorders>
              <w:top w:val="nil"/>
              <w:left w:val="nil"/>
              <w:bottom w:val="nil"/>
              <w:right w:val="nil"/>
            </w:tcBorders>
            <w:vAlign w:val="bottom"/>
          </w:tcPr>
          <w:p w:rsidR="00CA14BE" w:rsidRPr="0094358E" w:rsidRDefault="0094358E"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66</w:t>
            </w:r>
            <w:r w:rsidR="00C224C5" w:rsidRPr="0094358E">
              <w:t>,</w:t>
            </w:r>
            <w:r w:rsidRPr="0094358E">
              <w:t>823</w:t>
            </w:r>
          </w:p>
        </w:tc>
        <w:tc>
          <w:tcPr>
            <w:tcW w:w="350" w:type="pct"/>
            <w:tcBorders>
              <w:top w:val="nil"/>
              <w:left w:val="nil"/>
              <w:bottom w:val="nil"/>
              <w:right w:val="nil"/>
            </w:tcBorders>
            <w:vAlign w:val="bottom"/>
          </w:tcPr>
          <w:p w:rsidR="00CA14BE" w:rsidRPr="00584C02" w:rsidRDefault="004D2493" w:rsidP="000D784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1</w:t>
            </w:r>
            <w:r w:rsidR="000D7843" w:rsidRPr="00584C02">
              <w:t>0</w:t>
            </w:r>
          </w:p>
        </w:tc>
        <w:tc>
          <w:tcPr>
            <w:tcW w:w="350" w:type="pct"/>
            <w:tcBorders>
              <w:top w:val="nil"/>
              <w:left w:val="nil"/>
              <w:bottom w:val="nil"/>
              <w:right w:val="nil"/>
            </w:tcBorders>
            <w:vAlign w:val="bottom"/>
          </w:tcPr>
          <w:p w:rsidR="00CA14BE" w:rsidRPr="005B7320"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w:t>
            </w:r>
          </w:p>
        </w:tc>
        <w:tc>
          <w:tcPr>
            <w:tcW w:w="350" w:type="pct"/>
            <w:tcBorders>
              <w:top w:val="nil"/>
              <w:left w:val="nil"/>
              <w:bottom w:val="nil"/>
              <w:right w:val="nil"/>
            </w:tcBorders>
            <w:vAlign w:val="bottom"/>
          </w:tcPr>
          <w:p w:rsidR="00CA14BE" w:rsidRPr="00DC2F3A" w:rsidRDefault="00DC2F3A"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66</w:t>
            </w:r>
            <w:r w:rsidR="004D2493" w:rsidRPr="00DC2F3A">
              <w:t>,</w:t>
            </w:r>
            <w:r w:rsidRPr="00DC2F3A">
              <w:t>833</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0B08F4">
            <w:pPr>
              <w:widowControl/>
              <w:suppressAutoHyphens/>
              <w:ind w:left="200" w:hanging="200"/>
            </w:pPr>
            <w:r w:rsidRPr="00ED1B4C">
              <w:t>Selling, general and administrative expenses</w:t>
            </w:r>
            <w:r w:rsidRPr="00ED1B4C">
              <w:tab/>
            </w:r>
          </w:p>
        </w:tc>
        <w:tc>
          <w:tcPr>
            <w:tcW w:w="350" w:type="pct"/>
            <w:tcBorders>
              <w:top w:val="nil"/>
              <w:left w:val="nil"/>
              <w:bottom w:val="nil"/>
              <w:right w:val="nil"/>
            </w:tcBorders>
            <w:vAlign w:val="bottom"/>
          </w:tcPr>
          <w:p w:rsidR="00CA14BE" w:rsidRPr="0094358E"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p>
        </w:tc>
        <w:tc>
          <w:tcPr>
            <w:tcW w:w="350" w:type="pct"/>
            <w:tcBorders>
              <w:top w:val="nil"/>
              <w:left w:val="nil"/>
              <w:bottom w:val="nil"/>
              <w:right w:val="nil"/>
            </w:tcBorders>
            <w:vAlign w:val="bottom"/>
          </w:tcPr>
          <w:p w:rsidR="00CA14BE" w:rsidRPr="0094358E" w:rsidRDefault="00686DD8"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1</w:t>
            </w:r>
            <w:r w:rsidR="0094358E" w:rsidRPr="0094358E">
              <w:t>8</w:t>
            </w:r>
            <w:r w:rsidRPr="0094358E">
              <w:t>,</w:t>
            </w:r>
            <w:r w:rsidR="0094358E" w:rsidRPr="0094358E">
              <w:t>444</w:t>
            </w:r>
          </w:p>
        </w:tc>
        <w:tc>
          <w:tcPr>
            <w:tcW w:w="350" w:type="pct"/>
            <w:tcBorders>
              <w:top w:val="nil"/>
              <w:left w:val="nil"/>
              <w:bottom w:val="nil"/>
              <w:right w:val="nil"/>
            </w:tcBorders>
            <w:vAlign w:val="bottom"/>
          </w:tcPr>
          <w:p w:rsidR="00CA14BE" w:rsidRPr="00584C02" w:rsidRDefault="000D7843"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1</w:t>
            </w:r>
            <w:r w:rsidR="0094358E" w:rsidRPr="00584C02">
              <w:t>25</w:t>
            </w:r>
          </w:p>
        </w:tc>
        <w:tc>
          <w:tcPr>
            <w:tcW w:w="350" w:type="pct"/>
            <w:tcBorders>
              <w:top w:val="nil"/>
              <w:left w:val="nil"/>
              <w:bottom w:val="nil"/>
              <w:right w:val="nil"/>
            </w:tcBorders>
            <w:vAlign w:val="bottom"/>
          </w:tcPr>
          <w:p w:rsidR="00CA14BE" w:rsidRPr="005B7320" w:rsidRDefault="004D2493"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w:t>
            </w:r>
          </w:p>
        </w:tc>
        <w:tc>
          <w:tcPr>
            <w:tcW w:w="350" w:type="pct"/>
            <w:tcBorders>
              <w:top w:val="nil"/>
              <w:left w:val="nil"/>
              <w:bottom w:val="nil"/>
              <w:right w:val="nil"/>
            </w:tcBorders>
            <w:vAlign w:val="bottom"/>
          </w:tcPr>
          <w:p w:rsidR="00CA14BE" w:rsidRPr="00DC2F3A" w:rsidRDefault="00686DD8"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1</w:t>
            </w:r>
            <w:r w:rsidR="00DC2F3A" w:rsidRPr="00DC2F3A">
              <w:t>8</w:t>
            </w:r>
            <w:r w:rsidRPr="00DC2F3A">
              <w:t>,</w:t>
            </w:r>
            <w:r w:rsidR="00DC2F3A" w:rsidRPr="00DC2F3A">
              <w:t>569</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0B08F4">
            <w:pPr>
              <w:widowControl/>
              <w:suppressAutoHyphens/>
              <w:ind w:left="200" w:hanging="200"/>
            </w:pPr>
            <w:r w:rsidRPr="00ED1B4C">
              <w:t>Depreciation expense</w:t>
            </w:r>
            <w:r w:rsidRPr="00ED1B4C">
              <w:tab/>
            </w:r>
          </w:p>
        </w:tc>
        <w:tc>
          <w:tcPr>
            <w:tcW w:w="350" w:type="pct"/>
            <w:tcBorders>
              <w:top w:val="nil"/>
              <w:left w:val="nil"/>
              <w:bottom w:val="nil"/>
              <w:right w:val="nil"/>
            </w:tcBorders>
            <w:vAlign w:val="bottom"/>
          </w:tcPr>
          <w:p w:rsidR="00CA14BE" w:rsidRPr="0094358E"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p>
        </w:tc>
        <w:tc>
          <w:tcPr>
            <w:tcW w:w="350" w:type="pct"/>
            <w:tcBorders>
              <w:top w:val="nil"/>
              <w:left w:val="nil"/>
              <w:bottom w:val="nil"/>
              <w:right w:val="nil"/>
            </w:tcBorders>
            <w:vAlign w:val="bottom"/>
          </w:tcPr>
          <w:p w:rsidR="00CA14BE" w:rsidRPr="0094358E" w:rsidRDefault="004D2493"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1</w:t>
            </w:r>
            <w:r w:rsidR="0094358E" w:rsidRPr="0094358E">
              <w:t>8</w:t>
            </w:r>
            <w:r w:rsidRPr="0094358E">
              <w:t>,</w:t>
            </w:r>
            <w:r w:rsidR="0094358E" w:rsidRPr="0094358E">
              <w:t>337</w:t>
            </w:r>
          </w:p>
        </w:tc>
        <w:tc>
          <w:tcPr>
            <w:tcW w:w="350" w:type="pct"/>
            <w:tcBorders>
              <w:top w:val="nil"/>
              <w:left w:val="nil"/>
              <w:bottom w:val="nil"/>
              <w:right w:val="nil"/>
            </w:tcBorders>
            <w:vAlign w:val="bottom"/>
          </w:tcPr>
          <w:p w:rsidR="00CA14BE" w:rsidRPr="00584C02" w:rsidRDefault="004D2493"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1</w:t>
            </w:r>
            <w:r w:rsidR="000D7843" w:rsidRPr="00584C02">
              <w:t>6</w:t>
            </w:r>
            <w:r w:rsidR="0094358E" w:rsidRPr="00584C02">
              <w:t>7</w:t>
            </w:r>
          </w:p>
        </w:tc>
        <w:tc>
          <w:tcPr>
            <w:tcW w:w="350" w:type="pct"/>
            <w:tcBorders>
              <w:top w:val="nil"/>
              <w:left w:val="nil"/>
              <w:bottom w:val="nil"/>
              <w:right w:val="nil"/>
            </w:tcBorders>
            <w:vAlign w:val="bottom"/>
          </w:tcPr>
          <w:p w:rsidR="00CA14BE" w:rsidRPr="005B7320"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w:t>
            </w:r>
          </w:p>
        </w:tc>
        <w:tc>
          <w:tcPr>
            <w:tcW w:w="350" w:type="pct"/>
            <w:tcBorders>
              <w:top w:val="nil"/>
              <w:left w:val="nil"/>
              <w:bottom w:val="nil"/>
              <w:right w:val="nil"/>
            </w:tcBorders>
            <w:vAlign w:val="bottom"/>
          </w:tcPr>
          <w:p w:rsidR="00CA14BE" w:rsidRPr="00DC2F3A" w:rsidRDefault="004D2493"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1</w:t>
            </w:r>
            <w:r w:rsidR="00E92811" w:rsidRPr="00DC2F3A">
              <w:t>8</w:t>
            </w:r>
            <w:r w:rsidRPr="00DC2F3A">
              <w:t>,</w:t>
            </w:r>
            <w:r w:rsidR="00DC2F3A" w:rsidRPr="00DC2F3A">
              <w:t>504</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0B08F4">
            <w:pPr>
              <w:widowControl/>
              <w:suppressAutoHyphens/>
              <w:ind w:left="200" w:hanging="200"/>
            </w:pPr>
            <w:r w:rsidRPr="00ED1B4C">
              <w:t>Provision for doubtful accounts</w:t>
            </w:r>
            <w:r w:rsidRPr="00ED1B4C">
              <w:tab/>
            </w:r>
          </w:p>
        </w:tc>
        <w:tc>
          <w:tcPr>
            <w:tcW w:w="350" w:type="pct"/>
            <w:tcBorders>
              <w:top w:val="nil"/>
              <w:left w:val="nil"/>
              <w:bottom w:val="nil"/>
              <w:right w:val="nil"/>
            </w:tcBorders>
            <w:vAlign w:val="bottom"/>
          </w:tcPr>
          <w:p w:rsidR="00CA14BE" w:rsidRPr="0094358E"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p>
        </w:tc>
        <w:tc>
          <w:tcPr>
            <w:tcW w:w="350" w:type="pct"/>
            <w:tcBorders>
              <w:top w:val="nil"/>
              <w:left w:val="nil"/>
              <w:bottom w:val="nil"/>
              <w:right w:val="nil"/>
            </w:tcBorders>
            <w:vAlign w:val="bottom"/>
          </w:tcPr>
          <w:p w:rsidR="00CA14BE" w:rsidRPr="0094358E" w:rsidRDefault="00C224C5"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3</w:t>
            </w:r>
            <w:r w:rsidR="004D2493" w:rsidRPr="0094358E">
              <w:t>,</w:t>
            </w:r>
            <w:r w:rsidR="0094358E" w:rsidRPr="0094358E">
              <w:t>457</w:t>
            </w:r>
          </w:p>
        </w:tc>
        <w:tc>
          <w:tcPr>
            <w:tcW w:w="350" w:type="pct"/>
            <w:tcBorders>
              <w:top w:val="nil"/>
              <w:left w:val="nil"/>
              <w:bottom w:val="nil"/>
              <w:right w:val="nil"/>
            </w:tcBorders>
            <w:vAlign w:val="bottom"/>
          </w:tcPr>
          <w:p w:rsidR="00CA14BE" w:rsidRPr="00584C02"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w:t>
            </w:r>
          </w:p>
        </w:tc>
        <w:tc>
          <w:tcPr>
            <w:tcW w:w="350" w:type="pct"/>
            <w:tcBorders>
              <w:top w:val="nil"/>
              <w:left w:val="nil"/>
              <w:bottom w:val="nil"/>
              <w:right w:val="nil"/>
            </w:tcBorders>
            <w:vAlign w:val="bottom"/>
          </w:tcPr>
          <w:p w:rsidR="00CA14BE" w:rsidRPr="005B7320"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w:t>
            </w:r>
          </w:p>
        </w:tc>
        <w:tc>
          <w:tcPr>
            <w:tcW w:w="350" w:type="pct"/>
            <w:tcBorders>
              <w:top w:val="nil"/>
              <w:left w:val="nil"/>
              <w:bottom w:val="nil"/>
              <w:right w:val="nil"/>
            </w:tcBorders>
            <w:vAlign w:val="bottom"/>
          </w:tcPr>
          <w:p w:rsidR="00CA14BE" w:rsidRPr="00DC2F3A" w:rsidRDefault="00E92811"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3</w:t>
            </w:r>
            <w:r w:rsidR="004D2493" w:rsidRPr="00DC2F3A">
              <w:t>,</w:t>
            </w:r>
            <w:r w:rsidR="00DC2F3A" w:rsidRPr="00DC2F3A">
              <w:t>457</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0B08F4">
            <w:pPr>
              <w:widowControl/>
              <w:suppressAutoHyphens/>
              <w:ind w:left="200" w:hanging="200"/>
            </w:pPr>
            <w:r w:rsidRPr="00ED1B4C">
              <w:t>Impairment of leasing equipment</w:t>
            </w:r>
            <w:r w:rsidRPr="00ED1B4C">
              <w:tab/>
            </w:r>
          </w:p>
        </w:tc>
        <w:tc>
          <w:tcPr>
            <w:tcW w:w="350" w:type="pct"/>
            <w:tcBorders>
              <w:top w:val="nil"/>
              <w:left w:val="nil"/>
              <w:bottom w:val="nil"/>
              <w:right w:val="nil"/>
            </w:tcBorders>
            <w:vAlign w:val="bottom"/>
          </w:tcPr>
          <w:p w:rsidR="00CA14BE" w:rsidRPr="0094358E"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p>
        </w:tc>
        <w:tc>
          <w:tcPr>
            <w:tcW w:w="350" w:type="pct"/>
            <w:tcBorders>
              <w:top w:val="nil"/>
              <w:left w:val="nil"/>
              <w:bottom w:val="nil"/>
              <w:right w:val="nil"/>
            </w:tcBorders>
            <w:vAlign w:val="bottom"/>
          </w:tcPr>
          <w:p w:rsidR="00CA14BE" w:rsidRPr="0094358E" w:rsidRDefault="00C224C5"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1,</w:t>
            </w:r>
            <w:r w:rsidR="0094358E" w:rsidRPr="0094358E">
              <w:t>126</w:t>
            </w:r>
          </w:p>
        </w:tc>
        <w:tc>
          <w:tcPr>
            <w:tcW w:w="350" w:type="pct"/>
            <w:tcBorders>
              <w:top w:val="nil"/>
              <w:left w:val="nil"/>
              <w:bottom w:val="nil"/>
              <w:right w:val="nil"/>
            </w:tcBorders>
            <w:vAlign w:val="bottom"/>
          </w:tcPr>
          <w:p w:rsidR="00CA14BE" w:rsidRPr="00584C02"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w:t>
            </w:r>
          </w:p>
        </w:tc>
        <w:tc>
          <w:tcPr>
            <w:tcW w:w="350" w:type="pct"/>
            <w:tcBorders>
              <w:top w:val="nil"/>
              <w:left w:val="nil"/>
              <w:bottom w:val="nil"/>
              <w:right w:val="nil"/>
            </w:tcBorders>
            <w:vAlign w:val="bottom"/>
          </w:tcPr>
          <w:p w:rsidR="00CA14BE" w:rsidRPr="005B7320"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w:t>
            </w:r>
          </w:p>
        </w:tc>
        <w:tc>
          <w:tcPr>
            <w:tcW w:w="350" w:type="pct"/>
            <w:tcBorders>
              <w:top w:val="nil"/>
              <w:left w:val="nil"/>
              <w:bottom w:val="nil"/>
              <w:right w:val="nil"/>
            </w:tcBorders>
            <w:vAlign w:val="bottom"/>
          </w:tcPr>
          <w:p w:rsidR="00CA14BE" w:rsidRPr="00DC2F3A" w:rsidRDefault="00E92811"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1,</w:t>
            </w:r>
            <w:r w:rsidR="00DC2F3A" w:rsidRPr="00DC2F3A">
              <w:t>126</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AF43E9">
            <w:pPr>
              <w:widowControl/>
              <w:suppressAutoHyphens/>
              <w:ind w:left="200" w:hanging="200"/>
            </w:pPr>
            <w:r w:rsidRPr="00ED1B4C">
              <w:t xml:space="preserve">Loss on </w:t>
            </w:r>
            <w:r w:rsidR="00386317">
              <w:t>modification</w:t>
            </w:r>
            <w:r w:rsidR="00AF43E9">
              <w:t xml:space="preserve"> and extinguishment</w:t>
            </w:r>
            <w:r w:rsidR="00386317">
              <w:t xml:space="preserve"> of debt and capital lease obligations</w:t>
            </w:r>
            <w:r w:rsidRPr="00ED1B4C">
              <w:tab/>
            </w:r>
          </w:p>
        </w:tc>
        <w:tc>
          <w:tcPr>
            <w:tcW w:w="350" w:type="pct"/>
            <w:tcBorders>
              <w:top w:val="nil"/>
              <w:left w:val="nil"/>
              <w:bottom w:val="nil"/>
              <w:right w:val="nil"/>
            </w:tcBorders>
            <w:vAlign w:val="bottom"/>
          </w:tcPr>
          <w:p w:rsidR="00CA14BE" w:rsidRPr="0094358E"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p>
        </w:tc>
        <w:tc>
          <w:tcPr>
            <w:tcW w:w="350" w:type="pct"/>
            <w:tcBorders>
              <w:top w:val="nil"/>
              <w:left w:val="nil"/>
              <w:bottom w:val="nil"/>
              <w:right w:val="nil"/>
            </w:tcBorders>
            <w:vAlign w:val="bottom"/>
          </w:tcPr>
          <w:p w:rsidR="00CA14BE" w:rsidRPr="0094358E" w:rsidRDefault="0094358E"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22</w:t>
            </w:r>
          </w:p>
        </w:tc>
        <w:tc>
          <w:tcPr>
            <w:tcW w:w="350" w:type="pct"/>
            <w:tcBorders>
              <w:top w:val="nil"/>
              <w:left w:val="nil"/>
              <w:bottom w:val="nil"/>
              <w:right w:val="nil"/>
            </w:tcBorders>
            <w:vAlign w:val="bottom"/>
          </w:tcPr>
          <w:p w:rsidR="00CA14BE" w:rsidRPr="00584C02"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w:t>
            </w:r>
          </w:p>
        </w:tc>
        <w:tc>
          <w:tcPr>
            <w:tcW w:w="350" w:type="pct"/>
            <w:tcBorders>
              <w:top w:val="nil"/>
              <w:left w:val="nil"/>
              <w:bottom w:val="nil"/>
              <w:right w:val="nil"/>
            </w:tcBorders>
            <w:vAlign w:val="bottom"/>
          </w:tcPr>
          <w:p w:rsidR="00CA14BE" w:rsidRPr="005B7320"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w:t>
            </w:r>
          </w:p>
        </w:tc>
        <w:tc>
          <w:tcPr>
            <w:tcW w:w="350" w:type="pct"/>
            <w:tcBorders>
              <w:top w:val="nil"/>
              <w:left w:val="nil"/>
              <w:bottom w:val="nil"/>
              <w:right w:val="nil"/>
            </w:tcBorders>
            <w:vAlign w:val="bottom"/>
          </w:tcPr>
          <w:p w:rsidR="00CA14BE" w:rsidRPr="00DC2F3A" w:rsidRDefault="00DC2F3A"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22</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0B08F4">
            <w:pPr>
              <w:widowControl/>
              <w:suppressAutoHyphens/>
              <w:ind w:left="200" w:hanging="200"/>
            </w:pPr>
            <w:r w:rsidRPr="00ED1B4C">
              <w:t>Interest expense</w:t>
            </w:r>
            <w:r w:rsidRPr="00ED1B4C">
              <w:tab/>
            </w:r>
          </w:p>
        </w:tc>
        <w:tc>
          <w:tcPr>
            <w:tcW w:w="350" w:type="pct"/>
            <w:tcBorders>
              <w:top w:val="nil"/>
              <w:left w:val="nil"/>
              <w:bottom w:val="nil"/>
              <w:right w:val="nil"/>
            </w:tcBorders>
            <w:vAlign w:val="bottom"/>
          </w:tcPr>
          <w:p w:rsidR="00CA14BE" w:rsidRPr="0094358E" w:rsidRDefault="000D7BF7" w:rsidP="000D7BF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8,250</w:t>
            </w:r>
          </w:p>
        </w:tc>
        <w:tc>
          <w:tcPr>
            <w:tcW w:w="350" w:type="pct"/>
            <w:tcBorders>
              <w:top w:val="nil"/>
              <w:left w:val="nil"/>
              <w:bottom w:val="nil"/>
              <w:right w:val="nil"/>
            </w:tcBorders>
            <w:vAlign w:val="bottom"/>
          </w:tcPr>
          <w:p w:rsidR="00CA14BE" w:rsidRPr="0094358E" w:rsidRDefault="007B18E8"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22</w:t>
            </w:r>
            <w:r w:rsidR="004D2493" w:rsidRPr="0094358E">
              <w:t>,</w:t>
            </w:r>
            <w:r w:rsidR="0094358E" w:rsidRPr="0094358E">
              <w:t>216</w:t>
            </w:r>
          </w:p>
        </w:tc>
        <w:tc>
          <w:tcPr>
            <w:tcW w:w="350" w:type="pct"/>
            <w:tcBorders>
              <w:top w:val="nil"/>
              <w:left w:val="nil"/>
              <w:bottom w:val="nil"/>
              <w:right w:val="nil"/>
            </w:tcBorders>
            <w:vAlign w:val="bottom"/>
          </w:tcPr>
          <w:p w:rsidR="00CA14BE" w:rsidRPr="00584C02" w:rsidRDefault="0094358E"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73</w:t>
            </w:r>
          </w:p>
        </w:tc>
        <w:tc>
          <w:tcPr>
            <w:tcW w:w="350" w:type="pct"/>
            <w:tcBorders>
              <w:top w:val="nil"/>
              <w:left w:val="nil"/>
              <w:bottom w:val="nil"/>
              <w:right w:val="nil"/>
            </w:tcBorders>
            <w:vAlign w:val="bottom"/>
          </w:tcPr>
          <w:p w:rsidR="00CA14BE" w:rsidRPr="005B7320" w:rsidRDefault="004D2493" w:rsidP="008E1A3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w:t>
            </w:r>
            <w:r w:rsidR="00A279D3" w:rsidRPr="005B7320">
              <w:t>8,3</w:t>
            </w:r>
            <w:r w:rsidR="008E1A3E" w:rsidRPr="005B7320">
              <w:t>23</w:t>
            </w:r>
            <w:r w:rsidR="00CA14BE" w:rsidRPr="005B7320">
              <w:t>)</w:t>
            </w:r>
          </w:p>
        </w:tc>
        <w:tc>
          <w:tcPr>
            <w:tcW w:w="350" w:type="pct"/>
            <w:tcBorders>
              <w:top w:val="nil"/>
              <w:left w:val="nil"/>
              <w:bottom w:val="nil"/>
              <w:right w:val="nil"/>
            </w:tcBorders>
            <w:vAlign w:val="bottom"/>
          </w:tcPr>
          <w:p w:rsidR="00CA14BE" w:rsidRPr="00DC2F3A" w:rsidRDefault="00A279D3"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22</w:t>
            </w:r>
            <w:r w:rsidR="004D2493" w:rsidRPr="00DC2F3A">
              <w:t>,</w:t>
            </w:r>
            <w:r w:rsidR="00DC2F3A" w:rsidRPr="00DC2F3A">
              <w:t>216</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0B08F4">
            <w:pPr>
              <w:widowControl/>
              <w:suppressAutoHyphens/>
              <w:ind w:left="200" w:hanging="200"/>
            </w:pPr>
            <w:r w:rsidRPr="00ED1B4C">
              <w:t>Interest income</w:t>
            </w:r>
            <w:r w:rsidRPr="00ED1B4C">
              <w:tab/>
            </w:r>
          </w:p>
        </w:tc>
        <w:tc>
          <w:tcPr>
            <w:tcW w:w="350" w:type="pct"/>
            <w:tcBorders>
              <w:top w:val="nil"/>
              <w:left w:val="nil"/>
              <w:bottom w:val="nil"/>
              <w:right w:val="nil"/>
            </w:tcBorders>
            <w:vAlign w:val="bottom"/>
          </w:tcPr>
          <w:p w:rsidR="00CA14BE" w:rsidRPr="0094358E" w:rsidRDefault="000D7BF7" w:rsidP="000D7BF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(8,250)</w:t>
            </w:r>
          </w:p>
        </w:tc>
        <w:tc>
          <w:tcPr>
            <w:tcW w:w="350" w:type="pct"/>
            <w:tcBorders>
              <w:top w:val="nil"/>
              <w:left w:val="nil"/>
              <w:bottom w:val="nil"/>
              <w:right w:val="nil"/>
            </w:tcBorders>
            <w:vAlign w:val="bottom"/>
          </w:tcPr>
          <w:p w:rsidR="00CA14BE" w:rsidRPr="0094358E" w:rsidRDefault="00AA2F49"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r w:rsidR="0094358E" w:rsidRPr="0094358E">
              <w:t>24</w:t>
            </w:r>
            <w:r w:rsidR="00CA14BE" w:rsidRPr="0094358E">
              <w:t>)</w:t>
            </w:r>
          </w:p>
        </w:tc>
        <w:tc>
          <w:tcPr>
            <w:tcW w:w="350" w:type="pct"/>
            <w:tcBorders>
              <w:top w:val="nil"/>
              <w:left w:val="nil"/>
              <w:bottom w:val="nil"/>
              <w:right w:val="nil"/>
            </w:tcBorders>
            <w:vAlign w:val="bottom"/>
          </w:tcPr>
          <w:p w:rsidR="00CA14BE" w:rsidRPr="00584C02" w:rsidRDefault="00AA2F49"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w:t>
            </w:r>
          </w:p>
        </w:tc>
        <w:tc>
          <w:tcPr>
            <w:tcW w:w="350" w:type="pct"/>
            <w:tcBorders>
              <w:top w:val="nil"/>
              <w:left w:val="nil"/>
              <w:bottom w:val="nil"/>
              <w:right w:val="nil"/>
            </w:tcBorders>
            <w:vAlign w:val="bottom"/>
          </w:tcPr>
          <w:p w:rsidR="00CA14BE" w:rsidRPr="005B7320" w:rsidRDefault="00A279D3" w:rsidP="008E1A3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8,25</w:t>
            </w:r>
            <w:r w:rsidR="008E1A3E" w:rsidRPr="005B7320">
              <w:t>0</w:t>
            </w:r>
          </w:p>
        </w:tc>
        <w:tc>
          <w:tcPr>
            <w:tcW w:w="350" w:type="pct"/>
            <w:tcBorders>
              <w:top w:val="nil"/>
              <w:left w:val="nil"/>
              <w:bottom w:val="nil"/>
              <w:right w:val="nil"/>
            </w:tcBorders>
            <w:vAlign w:val="bottom"/>
          </w:tcPr>
          <w:p w:rsidR="00CA14BE" w:rsidRPr="00DC2F3A" w:rsidRDefault="00AA2F49"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w:t>
            </w:r>
            <w:r w:rsidR="00DC2F3A" w:rsidRPr="00DC2F3A">
              <w:t>24</w:t>
            </w:r>
            <w:r w:rsidR="00CA14BE" w:rsidRPr="00DC2F3A">
              <w:t>)</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0B08F4">
            <w:pPr>
              <w:widowControl/>
              <w:suppressAutoHyphens/>
              <w:ind w:left="200" w:hanging="200"/>
            </w:pPr>
            <w:r w:rsidRPr="00ED1B4C">
              <w:t>Equity in earnings of subsidiary</w:t>
            </w:r>
            <w:r w:rsidRPr="00ED1B4C">
              <w:tab/>
            </w:r>
          </w:p>
        </w:tc>
        <w:tc>
          <w:tcPr>
            <w:tcW w:w="350" w:type="pct"/>
            <w:tcBorders>
              <w:top w:val="nil"/>
              <w:left w:val="nil"/>
              <w:bottom w:val="nil"/>
              <w:right w:val="nil"/>
            </w:tcBorders>
            <w:vAlign w:val="bottom"/>
          </w:tcPr>
          <w:p w:rsidR="00CA14BE" w:rsidRPr="0094358E" w:rsidRDefault="0094358E"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(5</w:t>
            </w:r>
            <w:r w:rsidR="00706BFB" w:rsidRPr="0094358E">
              <w:t>,</w:t>
            </w:r>
            <w:r w:rsidRPr="0094358E">
              <w:t>474)</w:t>
            </w:r>
          </w:p>
        </w:tc>
        <w:tc>
          <w:tcPr>
            <w:tcW w:w="350" w:type="pct"/>
            <w:tcBorders>
              <w:top w:val="nil"/>
              <w:left w:val="nil"/>
              <w:bottom w:val="nil"/>
              <w:right w:val="nil"/>
            </w:tcBorders>
            <w:vAlign w:val="bottom"/>
          </w:tcPr>
          <w:p w:rsidR="00CA14BE" w:rsidRPr="0094358E" w:rsidRDefault="00AA2F49"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r w:rsidR="00C224C5" w:rsidRPr="0094358E">
              <w:t>2</w:t>
            </w:r>
            <w:r w:rsidR="0094358E" w:rsidRPr="0094358E">
              <w:t>24</w:t>
            </w:r>
            <w:r w:rsidRPr="0094358E">
              <w:t>)</w:t>
            </w:r>
          </w:p>
        </w:tc>
        <w:tc>
          <w:tcPr>
            <w:tcW w:w="350" w:type="pct"/>
            <w:tcBorders>
              <w:top w:val="nil"/>
              <w:left w:val="nil"/>
              <w:bottom w:val="nil"/>
              <w:right w:val="nil"/>
            </w:tcBorders>
            <w:vAlign w:val="bottom"/>
          </w:tcPr>
          <w:p w:rsidR="00CA14BE" w:rsidRPr="00584C02"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w:t>
            </w:r>
          </w:p>
        </w:tc>
        <w:tc>
          <w:tcPr>
            <w:tcW w:w="350" w:type="pct"/>
            <w:tcBorders>
              <w:top w:val="nil"/>
              <w:left w:val="nil"/>
              <w:bottom w:val="nil"/>
              <w:right w:val="nil"/>
            </w:tcBorders>
            <w:vAlign w:val="bottom"/>
          </w:tcPr>
          <w:p w:rsidR="00CA14BE" w:rsidRPr="005B7320" w:rsidRDefault="008E1A3E" w:rsidP="008E1A3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5</w:t>
            </w:r>
            <w:r w:rsidR="00706BFB" w:rsidRPr="005B7320">
              <w:t>,</w:t>
            </w:r>
            <w:r w:rsidRPr="005B7320">
              <w:t>698</w:t>
            </w:r>
          </w:p>
        </w:tc>
        <w:tc>
          <w:tcPr>
            <w:tcW w:w="350" w:type="pct"/>
            <w:tcBorders>
              <w:top w:val="nil"/>
              <w:left w:val="nil"/>
              <w:bottom w:val="nil"/>
              <w:right w:val="nil"/>
            </w:tcBorders>
            <w:vAlign w:val="bottom"/>
          </w:tcPr>
          <w:p w:rsidR="00CA14BE" w:rsidRPr="00DC2F3A"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5A3420">
            <w:pPr>
              <w:widowControl/>
              <w:suppressAutoHyphens/>
              <w:spacing w:after="20"/>
              <w:ind w:left="200" w:hanging="200"/>
            </w:pPr>
            <w:r w:rsidRPr="00ED1B4C">
              <w:t xml:space="preserve">Other </w:t>
            </w:r>
            <w:r w:rsidR="005A3420">
              <w:t>income</w:t>
            </w:r>
            <w:r w:rsidRPr="00ED1B4C">
              <w:t>, net</w:t>
            </w:r>
            <w:r w:rsidRPr="00ED1B4C">
              <w:tab/>
            </w:r>
          </w:p>
        </w:tc>
        <w:tc>
          <w:tcPr>
            <w:tcW w:w="350" w:type="pct"/>
            <w:tcBorders>
              <w:top w:val="nil"/>
              <w:left w:val="nil"/>
              <w:bottom w:val="nil"/>
              <w:right w:val="nil"/>
            </w:tcBorders>
            <w:vAlign w:val="bottom"/>
          </w:tcPr>
          <w:p w:rsidR="00CA14BE" w:rsidRPr="0094358E"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94358E">
              <w:t>—</w:t>
            </w:r>
          </w:p>
        </w:tc>
        <w:tc>
          <w:tcPr>
            <w:tcW w:w="350" w:type="pct"/>
            <w:tcBorders>
              <w:top w:val="nil"/>
              <w:left w:val="nil"/>
              <w:bottom w:val="nil"/>
              <w:right w:val="nil"/>
            </w:tcBorders>
            <w:vAlign w:val="bottom"/>
          </w:tcPr>
          <w:p w:rsidR="00CA14BE" w:rsidRPr="0094358E" w:rsidRDefault="0094358E" w:rsidP="0094358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94358E">
              <w:t>(382)</w:t>
            </w:r>
          </w:p>
        </w:tc>
        <w:tc>
          <w:tcPr>
            <w:tcW w:w="350" w:type="pct"/>
            <w:tcBorders>
              <w:top w:val="nil"/>
              <w:left w:val="nil"/>
              <w:bottom w:val="nil"/>
              <w:right w:val="nil"/>
            </w:tcBorders>
            <w:vAlign w:val="bottom"/>
          </w:tcPr>
          <w:p w:rsidR="00CA14BE" w:rsidRPr="00584C02" w:rsidRDefault="00C224C5" w:rsidP="000D7843">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584C02">
              <w:t>—</w:t>
            </w:r>
          </w:p>
        </w:tc>
        <w:tc>
          <w:tcPr>
            <w:tcW w:w="350" w:type="pct"/>
            <w:tcBorders>
              <w:top w:val="nil"/>
              <w:left w:val="nil"/>
              <w:bottom w:val="nil"/>
              <w:right w:val="nil"/>
            </w:tcBorders>
            <w:vAlign w:val="bottom"/>
          </w:tcPr>
          <w:p w:rsidR="00CA14BE" w:rsidRPr="005B7320"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5B7320">
              <w:t>—</w:t>
            </w:r>
          </w:p>
        </w:tc>
        <w:tc>
          <w:tcPr>
            <w:tcW w:w="350" w:type="pct"/>
            <w:tcBorders>
              <w:top w:val="nil"/>
              <w:left w:val="nil"/>
              <w:bottom w:val="nil"/>
              <w:right w:val="nil"/>
            </w:tcBorders>
            <w:vAlign w:val="bottom"/>
          </w:tcPr>
          <w:p w:rsidR="00CA14BE" w:rsidRPr="00DC2F3A" w:rsidRDefault="00DC2F3A" w:rsidP="00DC2F3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C2F3A">
              <w:t>(382)</w:t>
            </w:r>
          </w:p>
        </w:tc>
      </w:tr>
      <w:tr w:rsidR="00CA14BE" w:rsidRPr="0053635E" w:rsidTr="00BC446E">
        <w:trPr>
          <w:cantSplit/>
          <w:jc w:val="center"/>
        </w:trPr>
        <w:tc>
          <w:tcPr>
            <w:tcW w:w="1125" w:type="pct"/>
            <w:tcBorders>
              <w:top w:val="nil"/>
              <w:left w:val="nil"/>
              <w:bottom w:val="nil"/>
              <w:right w:val="nil"/>
            </w:tcBorders>
          </w:tcPr>
          <w:p w:rsidR="00CA14BE" w:rsidRPr="00ED1B4C" w:rsidRDefault="00CA14BE" w:rsidP="005B7320">
            <w:pPr>
              <w:widowControl/>
              <w:suppressAutoHyphens/>
              <w:ind w:left="200" w:hanging="200"/>
            </w:pPr>
            <w:r w:rsidRPr="00ED1B4C">
              <w:rPr>
                <w:b/>
                <w:bCs/>
              </w:rPr>
              <w:t xml:space="preserve">Total </w:t>
            </w:r>
            <w:r w:rsidR="005B7320">
              <w:rPr>
                <w:b/>
                <w:bCs/>
              </w:rPr>
              <w:t xml:space="preserve">(income) </w:t>
            </w:r>
            <w:r w:rsidRPr="00ED1B4C">
              <w:rPr>
                <w:b/>
                <w:bCs/>
              </w:rPr>
              <w:t>expense</w:t>
            </w:r>
            <w:r w:rsidRPr="00ED1B4C">
              <w:tab/>
            </w:r>
          </w:p>
        </w:tc>
        <w:tc>
          <w:tcPr>
            <w:tcW w:w="350" w:type="pct"/>
            <w:tcBorders>
              <w:top w:val="nil"/>
              <w:left w:val="nil"/>
              <w:bottom w:val="nil"/>
              <w:right w:val="nil"/>
            </w:tcBorders>
            <w:vAlign w:val="bottom"/>
          </w:tcPr>
          <w:p w:rsidR="00CA14BE" w:rsidRPr="0094358E" w:rsidRDefault="0094358E"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(5</w:t>
            </w:r>
            <w:r w:rsidR="00706BFB" w:rsidRPr="0094358E">
              <w:t>,</w:t>
            </w:r>
            <w:r w:rsidRPr="0094358E">
              <w:t>474)</w:t>
            </w:r>
          </w:p>
        </w:tc>
        <w:tc>
          <w:tcPr>
            <w:tcW w:w="350" w:type="pct"/>
            <w:tcBorders>
              <w:top w:val="nil"/>
              <w:left w:val="nil"/>
              <w:bottom w:val="nil"/>
              <w:right w:val="nil"/>
            </w:tcBorders>
            <w:vAlign w:val="bottom"/>
          </w:tcPr>
          <w:p w:rsidR="00CA14BE" w:rsidRPr="0094358E" w:rsidRDefault="00686DD8"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1</w:t>
            </w:r>
            <w:r w:rsidR="0094358E" w:rsidRPr="0094358E">
              <w:t>29</w:t>
            </w:r>
            <w:r w:rsidRPr="0094358E">
              <w:t>,</w:t>
            </w:r>
            <w:r w:rsidR="0094358E" w:rsidRPr="0094358E">
              <w:t>795</w:t>
            </w:r>
          </w:p>
        </w:tc>
        <w:tc>
          <w:tcPr>
            <w:tcW w:w="350" w:type="pct"/>
            <w:tcBorders>
              <w:top w:val="nil"/>
              <w:left w:val="nil"/>
              <w:bottom w:val="nil"/>
              <w:right w:val="nil"/>
            </w:tcBorders>
            <w:vAlign w:val="bottom"/>
          </w:tcPr>
          <w:p w:rsidR="00CA14BE" w:rsidRPr="00584C02" w:rsidRDefault="0094358E"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375</w:t>
            </w:r>
          </w:p>
        </w:tc>
        <w:tc>
          <w:tcPr>
            <w:tcW w:w="350" w:type="pct"/>
            <w:tcBorders>
              <w:top w:val="nil"/>
              <w:left w:val="nil"/>
              <w:bottom w:val="nil"/>
              <w:right w:val="nil"/>
            </w:tcBorders>
            <w:vAlign w:val="bottom"/>
          </w:tcPr>
          <w:p w:rsidR="00CA14BE" w:rsidRPr="005B7320" w:rsidRDefault="008E1A3E" w:rsidP="008E1A3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5</w:t>
            </w:r>
            <w:r w:rsidR="00706BFB" w:rsidRPr="005B7320">
              <w:t>,</w:t>
            </w:r>
            <w:r w:rsidRPr="005B7320">
              <w:t>625</w:t>
            </w:r>
          </w:p>
        </w:tc>
        <w:tc>
          <w:tcPr>
            <w:tcW w:w="350" w:type="pct"/>
            <w:tcBorders>
              <w:top w:val="nil"/>
              <w:left w:val="nil"/>
              <w:bottom w:val="nil"/>
              <w:right w:val="nil"/>
            </w:tcBorders>
            <w:vAlign w:val="bottom"/>
          </w:tcPr>
          <w:p w:rsidR="00CA14BE" w:rsidRPr="00DC2F3A" w:rsidRDefault="00A279D3"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1</w:t>
            </w:r>
            <w:r w:rsidR="00DC2F3A" w:rsidRPr="00DC2F3A">
              <w:t>30</w:t>
            </w:r>
            <w:r w:rsidR="0092050C" w:rsidRPr="00DC2F3A">
              <w:t>,</w:t>
            </w:r>
            <w:r w:rsidR="00DC2F3A" w:rsidRPr="00DC2F3A">
              <w:t>321</w:t>
            </w:r>
          </w:p>
        </w:tc>
      </w:tr>
      <w:tr w:rsidR="00CA14BE" w:rsidRPr="0053635E" w:rsidTr="00BC446E">
        <w:trPr>
          <w:cantSplit/>
          <w:jc w:val="center"/>
        </w:trPr>
        <w:tc>
          <w:tcPr>
            <w:tcW w:w="1125" w:type="pct"/>
            <w:tcBorders>
              <w:top w:val="nil"/>
              <w:left w:val="nil"/>
              <w:bottom w:val="nil"/>
              <w:right w:val="nil"/>
            </w:tcBorders>
          </w:tcPr>
          <w:p w:rsidR="00CA14BE" w:rsidRPr="005B7320" w:rsidRDefault="00DC2F3A" w:rsidP="005B7320">
            <w:pPr>
              <w:widowControl/>
              <w:tabs>
                <w:tab w:val="right" w:leader="dot" w:pos="3780"/>
              </w:tabs>
              <w:suppressAutoHyphens/>
              <w:ind w:left="200" w:hanging="200"/>
            </w:pPr>
            <w:r w:rsidRPr="005B7320">
              <w:t xml:space="preserve">Income </w:t>
            </w:r>
            <w:r w:rsidR="005B7320" w:rsidRPr="005B7320">
              <w:t xml:space="preserve">(loss) </w:t>
            </w:r>
            <w:r w:rsidR="00CA14BE" w:rsidRPr="005B7320">
              <w:t>before</w:t>
            </w:r>
            <w:r w:rsidRPr="005B7320">
              <w:t xml:space="preserve"> provision</w:t>
            </w:r>
            <w:r w:rsidR="00CA14BE" w:rsidRPr="005B7320">
              <w:t xml:space="preserve"> for income taxes</w:t>
            </w:r>
          </w:p>
        </w:tc>
        <w:tc>
          <w:tcPr>
            <w:tcW w:w="350" w:type="pct"/>
            <w:tcBorders>
              <w:top w:val="nil"/>
              <w:left w:val="nil"/>
              <w:bottom w:val="nil"/>
              <w:right w:val="nil"/>
            </w:tcBorders>
            <w:vAlign w:val="bottom"/>
          </w:tcPr>
          <w:p w:rsidR="00CA14BE" w:rsidRPr="0094358E" w:rsidRDefault="0094358E"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5</w:t>
            </w:r>
            <w:r w:rsidR="00706BFB" w:rsidRPr="0094358E">
              <w:t>,</w:t>
            </w:r>
            <w:r w:rsidRPr="0094358E">
              <w:t>474</w:t>
            </w:r>
          </w:p>
        </w:tc>
        <w:tc>
          <w:tcPr>
            <w:tcW w:w="350" w:type="pct"/>
            <w:tcBorders>
              <w:top w:val="nil"/>
              <w:left w:val="nil"/>
              <w:bottom w:val="nil"/>
              <w:right w:val="nil"/>
            </w:tcBorders>
            <w:vAlign w:val="bottom"/>
          </w:tcPr>
          <w:p w:rsidR="00CA14BE" w:rsidRPr="0094358E" w:rsidRDefault="0094358E" w:rsidP="009435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9</w:t>
            </w:r>
            <w:r w:rsidR="007B18E8" w:rsidRPr="0094358E">
              <w:t>,</w:t>
            </w:r>
            <w:r w:rsidRPr="0094358E">
              <w:t>155</w:t>
            </w:r>
          </w:p>
        </w:tc>
        <w:tc>
          <w:tcPr>
            <w:tcW w:w="350" w:type="pct"/>
            <w:tcBorders>
              <w:top w:val="nil"/>
              <w:left w:val="nil"/>
              <w:bottom w:val="nil"/>
              <w:right w:val="nil"/>
            </w:tcBorders>
            <w:vAlign w:val="bottom"/>
          </w:tcPr>
          <w:p w:rsidR="00CA14BE" w:rsidRPr="00584C02" w:rsidRDefault="000D7843" w:rsidP="00584C0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3</w:t>
            </w:r>
            <w:r w:rsidR="0094358E" w:rsidRPr="00584C02">
              <w:t>9</w:t>
            </w:r>
            <w:r w:rsidR="00584C02" w:rsidRPr="00584C02">
              <w:t>9</w:t>
            </w:r>
          </w:p>
        </w:tc>
        <w:tc>
          <w:tcPr>
            <w:tcW w:w="350" w:type="pct"/>
            <w:tcBorders>
              <w:top w:val="nil"/>
              <w:left w:val="nil"/>
              <w:bottom w:val="nil"/>
              <w:right w:val="nil"/>
            </w:tcBorders>
            <w:vAlign w:val="bottom"/>
          </w:tcPr>
          <w:p w:rsidR="00CA14BE" w:rsidRPr="005B7320" w:rsidRDefault="008E1A3E" w:rsidP="008E1A3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(5</w:t>
            </w:r>
            <w:r w:rsidR="00706BFB" w:rsidRPr="005B7320">
              <w:t>,</w:t>
            </w:r>
            <w:r w:rsidRPr="005B7320">
              <w:t>698)</w:t>
            </w:r>
          </w:p>
        </w:tc>
        <w:tc>
          <w:tcPr>
            <w:tcW w:w="350" w:type="pct"/>
            <w:tcBorders>
              <w:top w:val="nil"/>
              <w:left w:val="nil"/>
              <w:bottom w:val="nil"/>
              <w:right w:val="nil"/>
            </w:tcBorders>
            <w:vAlign w:val="bottom"/>
          </w:tcPr>
          <w:p w:rsidR="00CA14BE" w:rsidRPr="00DC2F3A" w:rsidRDefault="00DC2F3A"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9</w:t>
            </w:r>
            <w:r w:rsidR="0092050C" w:rsidRPr="00DC2F3A">
              <w:t>,</w:t>
            </w:r>
            <w:r w:rsidRPr="00DC2F3A">
              <w:t>330</w:t>
            </w:r>
          </w:p>
        </w:tc>
      </w:tr>
      <w:tr w:rsidR="00CA14BE" w:rsidRPr="0053635E" w:rsidTr="00BC446E">
        <w:trPr>
          <w:cantSplit/>
          <w:jc w:val="center"/>
        </w:trPr>
        <w:tc>
          <w:tcPr>
            <w:tcW w:w="1125" w:type="pct"/>
            <w:tcBorders>
              <w:top w:val="nil"/>
              <w:left w:val="nil"/>
              <w:bottom w:val="nil"/>
              <w:right w:val="nil"/>
            </w:tcBorders>
          </w:tcPr>
          <w:p w:rsidR="00CA14BE" w:rsidRPr="005B7320" w:rsidRDefault="00DC2F3A" w:rsidP="00DC2F3A">
            <w:pPr>
              <w:widowControl/>
              <w:suppressAutoHyphens/>
              <w:spacing w:after="20"/>
              <w:ind w:left="200" w:hanging="200"/>
            </w:pPr>
            <w:r w:rsidRPr="005B7320">
              <w:t xml:space="preserve">Provision </w:t>
            </w:r>
            <w:r w:rsidR="00CA14BE" w:rsidRPr="005B7320">
              <w:t>for income taxes</w:t>
            </w:r>
            <w:r w:rsidR="00CA14BE" w:rsidRPr="005B7320">
              <w:tab/>
            </w:r>
          </w:p>
        </w:tc>
        <w:tc>
          <w:tcPr>
            <w:tcW w:w="350" w:type="pct"/>
            <w:tcBorders>
              <w:top w:val="nil"/>
              <w:left w:val="nil"/>
              <w:bottom w:val="nil"/>
              <w:right w:val="nil"/>
            </w:tcBorders>
            <w:vAlign w:val="bottom"/>
          </w:tcPr>
          <w:p w:rsidR="00CA14BE" w:rsidRPr="0094358E"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94358E">
              <w:t>—</w:t>
            </w:r>
          </w:p>
        </w:tc>
        <w:tc>
          <w:tcPr>
            <w:tcW w:w="350" w:type="pct"/>
            <w:tcBorders>
              <w:top w:val="nil"/>
              <w:left w:val="nil"/>
              <w:bottom w:val="nil"/>
              <w:right w:val="nil"/>
            </w:tcBorders>
            <w:vAlign w:val="bottom"/>
          </w:tcPr>
          <w:p w:rsidR="00CA14BE" w:rsidRPr="0094358E" w:rsidRDefault="0094358E" w:rsidP="0094358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94358E">
              <w:t>3</w:t>
            </w:r>
            <w:r w:rsidR="00686DD8" w:rsidRPr="0094358E">
              <w:t>,</w:t>
            </w:r>
            <w:r w:rsidRPr="0094358E">
              <w:t>681</w:t>
            </w:r>
          </w:p>
        </w:tc>
        <w:tc>
          <w:tcPr>
            <w:tcW w:w="350" w:type="pct"/>
            <w:tcBorders>
              <w:top w:val="nil"/>
              <w:left w:val="nil"/>
              <w:bottom w:val="nil"/>
              <w:right w:val="nil"/>
            </w:tcBorders>
            <w:vAlign w:val="bottom"/>
          </w:tcPr>
          <w:p w:rsidR="00CA14BE" w:rsidRPr="00584C02" w:rsidRDefault="00C224C5" w:rsidP="0094358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584C02">
              <w:t>1</w:t>
            </w:r>
            <w:r w:rsidR="0094358E" w:rsidRPr="00584C02">
              <w:t>75</w:t>
            </w:r>
          </w:p>
        </w:tc>
        <w:tc>
          <w:tcPr>
            <w:tcW w:w="350" w:type="pct"/>
            <w:tcBorders>
              <w:top w:val="nil"/>
              <w:left w:val="nil"/>
              <w:bottom w:val="nil"/>
              <w:right w:val="nil"/>
            </w:tcBorders>
            <w:vAlign w:val="bottom"/>
          </w:tcPr>
          <w:p w:rsidR="00CA14BE" w:rsidRPr="005B7320"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5B7320">
              <w:t>—</w:t>
            </w:r>
          </w:p>
        </w:tc>
        <w:tc>
          <w:tcPr>
            <w:tcW w:w="350" w:type="pct"/>
            <w:tcBorders>
              <w:top w:val="nil"/>
              <w:left w:val="nil"/>
              <w:bottom w:val="nil"/>
              <w:right w:val="nil"/>
            </w:tcBorders>
            <w:vAlign w:val="bottom"/>
          </w:tcPr>
          <w:p w:rsidR="00CA14BE" w:rsidRPr="00DC2F3A" w:rsidRDefault="00DC2F3A" w:rsidP="00DC2F3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C2F3A">
              <w:t>3</w:t>
            </w:r>
            <w:r w:rsidR="00686DD8" w:rsidRPr="00DC2F3A">
              <w:t>,</w:t>
            </w:r>
            <w:r w:rsidRPr="00DC2F3A">
              <w:t>856</w:t>
            </w:r>
          </w:p>
        </w:tc>
      </w:tr>
      <w:tr w:rsidR="00CA14BE" w:rsidRPr="0053635E" w:rsidTr="00BC446E">
        <w:trPr>
          <w:cantSplit/>
          <w:jc w:val="center"/>
        </w:trPr>
        <w:tc>
          <w:tcPr>
            <w:tcW w:w="1125" w:type="pct"/>
            <w:tcBorders>
              <w:top w:val="nil"/>
              <w:left w:val="nil"/>
              <w:bottom w:val="nil"/>
              <w:right w:val="nil"/>
            </w:tcBorders>
          </w:tcPr>
          <w:p w:rsidR="00CA14BE" w:rsidRPr="005B7320" w:rsidRDefault="00CA14BE" w:rsidP="00DC2F3A">
            <w:pPr>
              <w:widowControl/>
              <w:suppressAutoHyphens/>
              <w:spacing w:after="40"/>
              <w:ind w:left="200" w:hanging="200"/>
            </w:pPr>
            <w:r w:rsidRPr="005B7320">
              <w:rPr>
                <w:b/>
                <w:bCs/>
              </w:rPr>
              <w:t>Net income</w:t>
            </w:r>
            <w:r w:rsidR="005B7320" w:rsidRPr="005B7320">
              <w:rPr>
                <w:b/>
                <w:bCs/>
              </w:rPr>
              <w:t xml:space="preserve"> (loss)</w:t>
            </w:r>
            <w:r w:rsidRPr="005B7320">
              <w:tab/>
            </w:r>
          </w:p>
        </w:tc>
        <w:tc>
          <w:tcPr>
            <w:tcW w:w="350" w:type="pct"/>
            <w:tcBorders>
              <w:top w:val="nil"/>
              <w:left w:val="nil"/>
              <w:bottom w:val="nil"/>
              <w:right w:val="nil"/>
            </w:tcBorders>
            <w:vAlign w:val="bottom"/>
          </w:tcPr>
          <w:p w:rsidR="00CA14BE" w:rsidRPr="0094358E" w:rsidRDefault="0094358E" w:rsidP="0094358E">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94358E">
              <w:t>5</w:t>
            </w:r>
            <w:r w:rsidR="00706BFB" w:rsidRPr="0094358E">
              <w:t>,</w:t>
            </w:r>
            <w:r w:rsidRPr="0094358E">
              <w:t>474</w:t>
            </w:r>
          </w:p>
        </w:tc>
        <w:tc>
          <w:tcPr>
            <w:tcW w:w="350" w:type="pct"/>
            <w:tcBorders>
              <w:top w:val="nil"/>
              <w:left w:val="nil"/>
              <w:bottom w:val="nil"/>
              <w:right w:val="nil"/>
            </w:tcBorders>
            <w:vAlign w:val="bottom"/>
          </w:tcPr>
          <w:p w:rsidR="00CA14BE" w:rsidRPr="0094358E" w:rsidRDefault="0094358E" w:rsidP="0094358E">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94358E">
              <w:t>5</w:t>
            </w:r>
            <w:r w:rsidR="00686DD8" w:rsidRPr="0094358E">
              <w:t>,</w:t>
            </w:r>
            <w:r w:rsidRPr="0094358E">
              <w:t>474</w:t>
            </w:r>
          </w:p>
        </w:tc>
        <w:tc>
          <w:tcPr>
            <w:tcW w:w="350" w:type="pct"/>
            <w:tcBorders>
              <w:top w:val="nil"/>
              <w:left w:val="nil"/>
              <w:bottom w:val="nil"/>
              <w:right w:val="nil"/>
            </w:tcBorders>
            <w:vAlign w:val="bottom"/>
          </w:tcPr>
          <w:p w:rsidR="00CA14BE" w:rsidRPr="00584C02" w:rsidRDefault="00C224C5" w:rsidP="00584C02">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584C02">
              <w:t>2</w:t>
            </w:r>
            <w:r w:rsidR="0094358E" w:rsidRPr="00584C02">
              <w:t>2</w:t>
            </w:r>
            <w:r w:rsidR="00584C02" w:rsidRPr="00584C02">
              <w:t>4</w:t>
            </w:r>
          </w:p>
        </w:tc>
        <w:tc>
          <w:tcPr>
            <w:tcW w:w="350" w:type="pct"/>
            <w:tcBorders>
              <w:top w:val="nil"/>
              <w:left w:val="nil"/>
              <w:bottom w:val="nil"/>
              <w:right w:val="nil"/>
            </w:tcBorders>
            <w:vAlign w:val="bottom"/>
          </w:tcPr>
          <w:p w:rsidR="00CA14BE" w:rsidRPr="005B7320" w:rsidRDefault="005B7320" w:rsidP="005B732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5B7320">
              <w:t>(5</w:t>
            </w:r>
            <w:r w:rsidR="00706BFB" w:rsidRPr="005B7320">
              <w:t>,</w:t>
            </w:r>
            <w:r w:rsidRPr="005B7320">
              <w:t>698)</w:t>
            </w:r>
          </w:p>
        </w:tc>
        <w:tc>
          <w:tcPr>
            <w:tcW w:w="350" w:type="pct"/>
            <w:tcBorders>
              <w:top w:val="nil"/>
              <w:left w:val="nil"/>
              <w:bottom w:val="nil"/>
              <w:right w:val="nil"/>
            </w:tcBorders>
            <w:vAlign w:val="bottom"/>
          </w:tcPr>
          <w:p w:rsidR="00CA14BE" w:rsidRPr="00DC2F3A" w:rsidRDefault="00DC2F3A" w:rsidP="00DC2F3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DC2F3A">
              <w:t>5</w:t>
            </w:r>
            <w:r w:rsidR="00686DD8" w:rsidRPr="00DC2F3A">
              <w:t>,</w:t>
            </w:r>
            <w:r w:rsidRPr="00DC2F3A">
              <w:t>474</w:t>
            </w:r>
          </w:p>
        </w:tc>
      </w:tr>
      <w:tr w:rsidR="00CA14BE" w:rsidRPr="0053635E" w:rsidTr="00BC446E">
        <w:trPr>
          <w:cantSplit/>
          <w:jc w:val="center"/>
        </w:trPr>
        <w:tc>
          <w:tcPr>
            <w:tcW w:w="1125" w:type="pct"/>
            <w:tcBorders>
              <w:top w:val="nil"/>
              <w:left w:val="nil"/>
              <w:bottom w:val="nil"/>
              <w:right w:val="nil"/>
            </w:tcBorders>
          </w:tcPr>
          <w:p w:rsidR="00CA14BE" w:rsidRPr="005B7320" w:rsidRDefault="00CA14BE" w:rsidP="000A03F1">
            <w:pPr>
              <w:widowControl/>
              <w:suppressAutoHyphens/>
              <w:ind w:left="200" w:hanging="200"/>
            </w:pPr>
            <w:r w:rsidRPr="005B7320">
              <w:t>Unrealized loss on derivative instruments, net of tax of $</w:t>
            </w:r>
            <w:r w:rsidR="00DC2F3A" w:rsidRPr="005B7320">
              <w:t>89</w:t>
            </w:r>
            <w:r w:rsidRPr="005B7320">
              <w:tab/>
            </w:r>
          </w:p>
        </w:tc>
        <w:tc>
          <w:tcPr>
            <w:tcW w:w="350" w:type="pct"/>
            <w:tcBorders>
              <w:top w:val="nil"/>
              <w:left w:val="nil"/>
              <w:bottom w:val="nil"/>
              <w:right w:val="nil"/>
            </w:tcBorders>
            <w:vAlign w:val="bottom"/>
          </w:tcPr>
          <w:p w:rsidR="00CA14BE" w:rsidRPr="0094358E"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p>
        </w:tc>
        <w:tc>
          <w:tcPr>
            <w:tcW w:w="350" w:type="pct"/>
            <w:tcBorders>
              <w:top w:val="nil"/>
              <w:left w:val="nil"/>
              <w:bottom w:val="nil"/>
              <w:right w:val="nil"/>
            </w:tcBorders>
            <w:vAlign w:val="bottom"/>
          </w:tcPr>
          <w:p w:rsidR="00CA14BE" w:rsidRPr="0094358E" w:rsidRDefault="001F06B3"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r w:rsidR="00DC2F3A" w:rsidRPr="0094358E">
              <w:t>136</w:t>
            </w:r>
            <w:r w:rsidRPr="0094358E">
              <w:t>)</w:t>
            </w:r>
          </w:p>
        </w:tc>
        <w:tc>
          <w:tcPr>
            <w:tcW w:w="350" w:type="pct"/>
            <w:tcBorders>
              <w:top w:val="nil"/>
              <w:left w:val="nil"/>
              <w:bottom w:val="nil"/>
              <w:right w:val="nil"/>
            </w:tcBorders>
            <w:vAlign w:val="bottom"/>
          </w:tcPr>
          <w:p w:rsidR="00CA14BE" w:rsidRPr="00584C02"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w:t>
            </w:r>
          </w:p>
        </w:tc>
        <w:tc>
          <w:tcPr>
            <w:tcW w:w="350" w:type="pct"/>
            <w:tcBorders>
              <w:top w:val="nil"/>
              <w:left w:val="nil"/>
              <w:bottom w:val="nil"/>
              <w:right w:val="nil"/>
            </w:tcBorders>
            <w:vAlign w:val="bottom"/>
          </w:tcPr>
          <w:p w:rsidR="00CA14BE" w:rsidRPr="005B7320"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w:t>
            </w:r>
          </w:p>
        </w:tc>
        <w:tc>
          <w:tcPr>
            <w:tcW w:w="350" w:type="pct"/>
            <w:tcBorders>
              <w:top w:val="nil"/>
              <w:left w:val="nil"/>
              <w:bottom w:val="nil"/>
              <w:right w:val="nil"/>
            </w:tcBorders>
            <w:vAlign w:val="bottom"/>
          </w:tcPr>
          <w:p w:rsidR="00CA14BE" w:rsidRPr="00DC2F3A" w:rsidRDefault="00E92811"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w:t>
            </w:r>
            <w:r w:rsidR="00DC2F3A" w:rsidRPr="00DC2F3A">
              <w:t>136</w:t>
            </w:r>
            <w:r w:rsidRPr="00DC2F3A">
              <w:t>)</w:t>
            </w:r>
          </w:p>
        </w:tc>
      </w:tr>
      <w:tr w:rsidR="00CA14BE" w:rsidRPr="0053635E" w:rsidTr="00BC446E">
        <w:trPr>
          <w:cantSplit/>
          <w:jc w:val="center"/>
        </w:trPr>
        <w:tc>
          <w:tcPr>
            <w:tcW w:w="1125" w:type="pct"/>
            <w:tcBorders>
              <w:top w:val="nil"/>
              <w:left w:val="nil"/>
              <w:bottom w:val="nil"/>
              <w:right w:val="nil"/>
            </w:tcBorders>
          </w:tcPr>
          <w:p w:rsidR="00CA14BE" w:rsidRPr="005B7320" w:rsidRDefault="00CA14BE" w:rsidP="00DC2F3A">
            <w:pPr>
              <w:widowControl/>
              <w:suppressAutoHyphens/>
              <w:ind w:left="200" w:hanging="200"/>
            </w:pPr>
            <w:r w:rsidRPr="005B7320">
              <w:t xml:space="preserve">Derivative loss reclassified into earnings, net of tax of </w:t>
            </w:r>
            <w:r w:rsidR="005E391D" w:rsidRPr="005B7320">
              <w:t>($</w:t>
            </w:r>
            <w:r w:rsidR="007B18E8" w:rsidRPr="005B7320">
              <w:t>1,</w:t>
            </w:r>
            <w:r w:rsidR="00DC2F3A" w:rsidRPr="005B7320">
              <w:t>814</w:t>
            </w:r>
            <w:r w:rsidR="005E391D" w:rsidRPr="005B7320">
              <w:t>)</w:t>
            </w:r>
            <w:r w:rsidRPr="005B7320">
              <w:tab/>
            </w:r>
          </w:p>
        </w:tc>
        <w:tc>
          <w:tcPr>
            <w:tcW w:w="350" w:type="pct"/>
            <w:tcBorders>
              <w:top w:val="nil"/>
              <w:left w:val="nil"/>
              <w:bottom w:val="nil"/>
              <w:right w:val="nil"/>
            </w:tcBorders>
            <w:vAlign w:val="bottom"/>
          </w:tcPr>
          <w:p w:rsidR="00CA14BE" w:rsidRPr="0094358E"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w:t>
            </w:r>
          </w:p>
        </w:tc>
        <w:tc>
          <w:tcPr>
            <w:tcW w:w="350" w:type="pct"/>
            <w:tcBorders>
              <w:top w:val="nil"/>
              <w:left w:val="nil"/>
              <w:bottom w:val="nil"/>
              <w:right w:val="nil"/>
            </w:tcBorders>
            <w:vAlign w:val="bottom"/>
          </w:tcPr>
          <w:p w:rsidR="00CA14BE" w:rsidRPr="0094358E" w:rsidRDefault="00C224C5"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94358E">
              <w:t>2</w:t>
            </w:r>
            <w:r w:rsidR="007B18E8" w:rsidRPr="0094358E">
              <w:t>,</w:t>
            </w:r>
            <w:r w:rsidR="00DC2F3A" w:rsidRPr="0094358E">
              <w:t>792</w:t>
            </w:r>
          </w:p>
        </w:tc>
        <w:tc>
          <w:tcPr>
            <w:tcW w:w="350" w:type="pct"/>
            <w:tcBorders>
              <w:top w:val="nil"/>
              <w:left w:val="nil"/>
              <w:bottom w:val="nil"/>
              <w:right w:val="nil"/>
            </w:tcBorders>
            <w:vAlign w:val="bottom"/>
          </w:tcPr>
          <w:p w:rsidR="00CA14BE" w:rsidRPr="00584C02"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84C02">
              <w:t>—</w:t>
            </w:r>
          </w:p>
        </w:tc>
        <w:tc>
          <w:tcPr>
            <w:tcW w:w="350" w:type="pct"/>
            <w:tcBorders>
              <w:top w:val="nil"/>
              <w:left w:val="nil"/>
              <w:bottom w:val="nil"/>
              <w:right w:val="nil"/>
            </w:tcBorders>
            <w:vAlign w:val="bottom"/>
          </w:tcPr>
          <w:p w:rsidR="00CA14BE" w:rsidRPr="005B7320"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5B7320">
              <w:t>—</w:t>
            </w:r>
          </w:p>
        </w:tc>
        <w:tc>
          <w:tcPr>
            <w:tcW w:w="350" w:type="pct"/>
            <w:tcBorders>
              <w:top w:val="nil"/>
              <w:left w:val="nil"/>
              <w:bottom w:val="nil"/>
              <w:right w:val="nil"/>
            </w:tcBorders>
            <w:vAlign w:val="bottom"/>
          </w:tcPr>
          <w:p w:rsidR="00CA14BE" w:rsidRPr="00DC2F3A" w:rsidRDefault="00E92811" w:rsidP="00DC2F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C2F3A">
              <w:t>2</w:t>
            </w:r>
            <w:r w:rsidR="00A279D3" w:rsidRPr="00DC2F3A">
              <w:t>,</w:t>
            </w:r>
            <w:r w:rsidR="00DC2F3A" w:rsidRPr="00DC2F3A">
              <w:t>792</w:t>
            </w:r>
          </w:p>
        </w:tc>
      </w:tr>
      <w:tr w:rsidR="00CA14BE" w:rsidRPr="0053635E" w:rsidTr="00BC446E">
        <w:trPr>
          <w:cantSplit/>
          <w:jc w:val="center"/>
        </w:trPr>
        <w:tc>
          <w:tcPr>
            <w:tcW w:w="1125" w:type="pct"/>
            <w:tcBorders>
              <w:top w:val="nil"/>
              <w:left w:val="nil"/>
              <w:bottom w:val="nil"/>
              <w:right w:val="nil"/>
            </w:tcBorders>
          </w:tcPr>
          <w:p w:rsidR="00CA14BE" w:rsidRPr="005B7320" w:rsidRDefault="00CA14BE" w:rsidP="000A03F1">
            <w:pPr>
              <w:widowControl/>
              <w:suppressAutoHyphens/>
              <w:spacing w:after="20"/>
              <w:ind w:left="200" w:hanging="200"/>
            </w:pPr>
            <w:r w:rsidRPr="005B7320">
              <w:t xml:space="preserve">Foreign currency translation loss, net of tax </w:t>
            </w:r>
            <w:r w:rsidR="005E391D" w:rsidRPr="005B7320">
              <w:t xml:space="preserve">of </w:t>
            </w:r>
            <w:r w:rsidR="007B18E8" w:rsidRPr="005B7320">
              <w:t>$</w:t>
            </w:r>
            <w:r w:rsidR="00DC2F3A" w:rsidRPr="005B7320">
              <w:t>130</w:t>
            </w:r>
          </w:p>
        </w:tc>
        <w:tc>
          <w:tcPr>
            <w:tcW w:w="350" w:type="pct"/>
            <w:tcBorders>
              <w:top w:val="nil"/>
              <w:left w:val="nil"/>
              <w:bottom w:val="nil"/>
              <w:right w:val="nil"/>
            </w:tcBorders>
            <w:vAlign w:val="bottom"/>
          </w:tcPr>
          <w:p w:rsidR="00CA14BE" w:rsidRPr="0094358E"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94358E">
              <w:t>—</w:t>
            </w:r>
          </w:p>
        </w:tc>
        <w:tc>
          <w:tcPr>
            <w:tcW w:w="350" w:type="pct"/>
            <w:tcBorders>
              <w:top w:val="nil"/>
              <w:left w:val="nil"/>
              <w:bottom w:val="nil"/>
              <w:right w:val="nil"/>
            </w:tcBorders>
            <w:vAlign w:val="bottom"/>
          </w:tcPr>
          <w:p w:rsidR="00CA14BE" w:rsidRPr="0094358E" w:rsidRDefault="00DC2F3A" w:rsidP="00DC2F3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94358E">
              <w:t>(207)</w:t>
            </w:r>
          </w:p>
        </w:tc>
        <w:tc>
          <w:tcPr>
            <w:tcW w:w="350" w:type="pct"/>
            <w:tcBorders>
              <w:top w:val="nil"/>
              <w:left w:val="nil"/>
              <w:bottom w:val="nil"/>
              <w:right w:val="nil"/>
            </w:tcBorders>
            <w:vAlign w:val="bottom"/>
          </w:tcPr>
          <w:p w:rsidR="00CA14BE" w:rsidRPr="00584C02" w:rsidRDefault="0092050C"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584C02">
              <w:t>—</w:t>
            </w:r>
          </w:p>
        </w:tc>
        <w:tc>
          <w:tcPr>
            <w:tcW w:w="350" w:type="pct"/>
            <w:tcBorders>
              <w:top w:val="nil"/>
              <w:left w:val="nil"/>
              <w:bottom w:val="nil"/>
              <w:right w:val="nil"/>
            </w:tcBorders>
            <w:vAlign w:val="bottom"/>
          </w:tcPr>
          <w:p w:rsidR="00CA14BE" w:rsidRPr="005B7320"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5B7320">
              <w:t>—</w:t>
            </w:r>
          </w:p>
        </w:tc>
        <w:tc>
          <w:tcPr>
            <w:tcW w:w="350" w:type="pct"/>
            <w:tcBorders>
              <w:top w:val="nil"/>
              <w:left w:val="nil"/>
              <w:bottom w:val="nil"/>
              <w:right w:val="nil"/>
            </w:tcBorders>
            <w:vAlign w:val="bottom"/>
          </w:tcPr>
          <w:p w:rsidR="00CA14BE" w:rsidRPr="00DC2F3A" w:rsidRDefault="00DC2F3A" w:rsidP="00DC2F3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C2F3A">
              <w:t>(207)</w:t>
            </w:r>
          </w:p>
        </w:tc>
      </w:tr>
      <w:tr w:rsidR="00CA14BE" w:rsidRPr="0053635E" w:rsidTr="00BC446E">
        <w:trPr>
          <w:cantSplit/>
          <w:jc w:val="center"/>
        </w:trPr>
        <w:tc>
          <w:tcPr>
            <w:tcW w:w="1125" w:type="pct"/>
            <w:tcBorders>
              <w:top w:val="nil"/>
              <w:left w:val="nil"/>
              <w:bottom w:val="nil"/>
              <w:right w:val="nil"/>
            </w:tcBorders>
          </w:tcPr>
          <w:p w:rsidR="00CA14BE" w:rsidRPr="005B7320" w:rsidRDefault="00CA14BE" w:rsidP="000B08F4">
            <w:pPr>
              <w:widowControl/>
              <w:suppressAutoHyphens/>
              <w:spacing w:after="20"/>
              <w:ind w:left="200" w:hanging="200"/>
            </w:pPr>
            <w:r w:rsidRPr="005B7320">
              <w:rPr>
                <w:b/>
                <w:bCs/>
              </w:rPr>
              <w:t xml:space="preserve">Total </w:t>
            </w:r>
            <w:r w:rsidR="00692E00" w:rsidRPr="005B7320">
              <w:rPr>
                <w:b/>
                <w:bCs/>
              </w:rPr>
              <w:t>o</w:t>
            </w:r>
            <w:r w:rsidRPr="005B7320">
              <w:rPr>
                <w:b/>
                <w:bCs/>
              </w:rPr>
              <w:t>ther comprehensive income</w:t>
            </w:r>
            <w:r w:rsidRPr="005B7320">
              <w:tab/>
            </w:r>
          </w:p>
        </w:tc>
        <w:tc>
          <w:tcPr>
            <w:tcW w:w="350" w:type="pct"/>
            <w:tcBorders>
              <w:top w:val="nil"/>
              <w:left w:val="nil"/>
              <w:bottom w:val="nil"/>
              <w:right w:val="nil"/>
            </w:tcBorders>
            <w:vAlign w:val="bottom"/>
          </w:tcPr>
          <w:p w:rsidR="00CA14BE" w:rsidRPr="0094358E"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94358E">
              <w:t>—</w:t>
            </w:r>
          </w:p>
        </w:tc>
        <w:tc>
          <w:tcPr>
            <w:tcW w:w="350" w:type="pct"/>
            <w:tcBorders>
              <w:top w:val="nil"/>
              <w:left w:val="nil"/>
              <w:bottom w:val="nil"/>
              <w:right w:val="nil"/>
            </w:tcBorders>
            <w:vAlign w:val="bottom"/>
          </w:tcPr>
          <w:p w:rsidR="00CA14BE" w:rsidRPr="0094358E" w:rsidRDefault="00DC2F3A" w:rsidP="00DC2F3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94358E">
              <w:t>2</w:t>
            </w:r>
            <w:r w:rsidR="0092050C" w:rsidRPr="0094358E">
              <w:t>,</w:t>
            </w:r>
            <w:r w:rsidRPr="0094358E">
              <w:t>449</w:t>
            </w:r>
          </w:p>
        </w:tc>
        <w:tc>
          <w:tcPr>
            <w:tcW w:w="350" w:type="pct"/>
            <w:tcBorders>
              <w:top w:val="nil"/>
              <w:left w:val="nil"/>
              <w:bottom w:val="nil"/>
              <w:right w:val="nil"/>
            </w:tcBorders>
            <w:vAlign w:val="bottom"/>
          </w:tcPr>
          <w:p w:rsidR="00CA14BE" w:rsidRPr="00584C02" w:rsidRDefault="0092050C"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584C02">
              <w:t>—</w:t>
            </w:r>
          </w:p>
        </w:tc>
        <w:tc>
          <w:tcPr>
            <w:tcW w:w="350" w:type="pct"/>
            <w:tcBorders>
              <w:top w:val="nil"/>
              <w:left w:val="nil"/>
              <w:bottom w:val="nil"/>
              <w:right w:val="nil"/>
            </w:tcBorders>
            <w:vAlign w:val="bottom"/>
          </w:tcPr>
          <w:p w:rsidR="00CA14BE" w:rsidRPr="005B7320"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5B7320">
              <w:t>—</w:t>
            </w:r>
          </w:p>
        </w:tc>
        <w:tc>
          <w:tcPr>
            <w:tcW w:w="350" w:type="pct"/>
            <w:tcBorders>
              <w:top w:val="nil"/>
              <w:left w:val="nil"/>
              <w:bottom w:val="nil"/>
              <w:right w:val="nil"/>
            </w:tcBorders>
            <w:vAlign w:val="bottom"/>
          </w:tcPr>
          <w:p w:rsidR="00CA14BE" w:rsidRPr="00DC2F3A" w:rsidRDefault="00DC2F3A" w:rsidP="00DC2F3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C2F3A">
              <w:t>2</w:t>
            </w:r>
            <w:r w:rsidR="0092050C" w:rsidRPr="00DC2F3A">
              <w:t>,</w:t>
            </w:r>
            <w:r w:rsidRPr="00DC2F3A">
              <w:t>449</w:t>
            </w:r>
          </w:p>
        </w:tc>
      </w:tr>
      <w:tr w:rsidR="00CA14BE" w:rsidRPr="0053635E" w:rsidTr="00BC446E">
        <w:trPr>
          <w:cantSplit/>
          <w:jc w:val="center"/>
        </w:trPr>
        <w:tc>
          <w:tcPr>
            <w:tcW w:w="1125" w:type="pct"/>
            <w:tcBorders>
              <w:top w:val="nil"/>
              <w:left w:val="nil"/>
              <w:bottom w:val="nil"/>
              <w:right w:val="nil"/>
            </w:tcBorders>
          </w:tcPr>
          <w:p w:rsidR="00CA14BE" w:rsidRPr="005B7320" w:rsidRDefault="00CA14BE" w:rsidP="000A03F1">
            <w:pPr>
              <w:widowControl/>
              <w:suppressAutoHyphens/>
              <w:spacing w:after="40"/>
              <w:ind w:left="200" w:hanging="200"/>
            </w:pPr>
            <w:r w:rsidRPr="005B7320">
              <w:rPr>
                <w:b/>
                <w:bCs/>
              </w:rPr>
              <w:t xml:space="preserve">Total comprehensive </w:t>
            </w:r>
            <w:r w:rsidR="00692E00" w:rsidRPr="005B7320">
              <w:rPr>
                <w:b/>
                <w:bCs/>
              </w:rPr>
              <w:t>income</w:t>
            </w:r>
            <w:r w:rsidR="009A3E02">
              <w:rPr>
                <w:b/>
                <w:bCs/>
              </w:rPr>
              <w:t xml:space="preserve"> (loss)</w:t>
            </w:r>
          </w:p>
        </w:tc>
        <w:tc>
          <w:tcPr>
            <w:tcW w:w="350" w:type="pct"/>
            <w:tcBorders>
              <w:top w:val="nil"/>
              <w:left w:val="nil"/>
              <w:bottom w:val="nil"/>
              <w:right w:val="nil"/>
            </w:tcBorders>
            <w:vAlign w:val="bottom"/>
          </w:tcPr>
          <w:p w:rsidR="00CA14BE" w:rsidRPr="0094358E" w:rsidRDefault="00321D4A" w:rsidP="0094358E">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94358E">
              <w:t xml:space="preserve">$        </w:t>
            </w:r>
            <w:r w:rsidR="0094358E" w:rsidRPr="0094358E">
              <w:t xml:space="preserve">   5</w:t>
            </w:r>
            <w:r w:rsidR="00706BFB" w:rsidRPr="0094358E">
              <w:t>,</w:t>
            </w:r>
            <w:r w:rsidR="0094358E" w:rsidRPr="0094358E">
              <w:t>474</w:t>
            </w:r>
          </w:p>
        </w:tc>
        <w:tc>
          <w:tcPr>
            <w:tcW w:w="350" w:type="pct"/>
            <w:tcBorders>
              <w:top w:val="nil"/>
              <w:left w:val="nil"/>
              <w:bottom w:val="nil"/>
              <w:right w:val="nil"/>
            </w:tcBorders>
            <w:vAlign w:val="bottom"/>
          </w:tcPr>
          <w:p w:rsidR="00CA14BE" w:rsidRPr="0094358E" w:rsidRDefault="0092050C" w:rsidP="0094358E">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94358E">
              <w:t>$</w:t>
            </w:r>
            <w:r w:rsidR="003A49B6" w:rsidRPr="0094358E">
              <w:t xml:space="preserve">  </w:t>
            </w:r>
            <w:r w:rsidR="005B7320">
              <w:t xml:space="preserve">   </w:t>
            </w:r>
            <w:r w:rsidR="003A49B6" w:rsidRPr="0094358E">
              <w:t xml:space="preserve">      </w:t>
            </w:r>
            <w:r w:rsidR="00DC2F3A" w:rsidRPr="0094358E">
              <w:t>7</w:t>
            </w:r>
            <w:r w:rsidR="00AE3D8B" w:rsidRPr="0094358E">
              <w:t>,</w:t>
            </w:r>
            <w:r w:rsidR="00DC2F3A" w:rsidRPr="0094358E">
              <w:t>923</w:t>
            </w:r>
          </w:p>
        </w:tc>
        <w:tc>
          <w:tcPr>
            <w:tcW w:w="350" w:type="pct"/>
            <w:tcBorders>
              <w:top w:val="nil"/>
              <w:left w:val="nil"/>
              <w:bottom w:val="nil"/>
              <w:right w:val="nil"/>
            </w:tcBorders>
            <w:vAlign w:val="bottom"/>
          </w:tcPr>
          <w:p w:rsidR="00CA14BE" w:rsidRPr="00584C02" w:rsidRDefault="003A49B6" w:rsidP="00584C02">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584C02">
              <w:t xml:space="preserve">$              </w:t>
            </w:r>
            <w:r w:rsidR="00C224C5" w:rsidRPr="00584C02">
              <w:t>2</w:t>
            </w:r>
            <w:r w:rsidR="00584C02" w:rsidRPr="00584C02">
              <w:t>24</w:t>
            </w:r>
          </w:p>
        </w:tc>
        <w:tc>
          <w:tcPr>
            <w:tcW w:w="350" w:type="pct"/>
            <w:tcBorders>
              <w:top w:val="nil"/>
              <w:left w:val="nil"/>
              <w:bottom w:val="nil"/>
              <w:right w:val="nil"/>
            </w:tcBorders>
            <w:vAlign w:val="bottom"/>
          </w:tcPr>
          <w:p w:rsidR="00CA14BE" w:rsidRPr="005B7320" w:rsidRDefault="00CA14BE" w:rsidP="005B732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5B7320">
              <w:t>$</w:t>
            </w:r>
            <w:r w:rsidR="003A49B6" w:rsidRPr="005B7320">
              <w:t xml:space="preserve">    </w:t>
            </w:r>
            <w:r w:rsidR="00320135" w:rsidRPr="005B7320">
              <w:t xml:space="preserve">   </w:t>
            </w:r>
            <w:r w:rsidR="003A49B6" w:rsidRPr="005B7320">
              <w:t xml:space="preserve"> </w:t>
            </w:r>
            <w:r w:rsidR="005B7320" w:rsidRPr="005B7320">
              <w:t>(5</w:t>
            </w:r>
            <w:r w:rsidR="00F47A47" w:rsidRPr="005B7320">
              <w:t>,</w:t>
            </w:r>
            <w:r w:rsidR="005B7320" w:rsidRPr="005B7320">
              <w:t>698)</w:t>
            </w:r>
          </w:p>
        </w:tc>
        <w:tc>
          <w:tcPr>
            <w:tcW w:w="350" w:type="pct"/>
            <w:tcBorders>
              <w:top w:val="nil"/>
              <w:left w:val="nil"/>
              <w:bottom w:val="nil"/>
              <w:right w:val="nil"/>
            </w:tcBorders>
            <w:vAlign w:val="bottom"/>
          </w:tcPr>
          <w:p w:rsidR="00CA14BE" w:rsidRPr="00DC2F3A" w:rsidRDefault="0092050C" w:rsidP="00545A48">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DC2F3A">
              <w:t>$</w:t>
            </w:r>
            <w:r w:rsidR="003A49B6" w:rsidRPr="00DC2F3A">
              <w:t xml:space="preserve">   </w:t>
            </w:r>
            <w:r w:rsidR="00545A48">
              <w:t xml:space="preserve">   </w:t>
            </w:r>
            <w:r w:rsidR="003A49B6" w:rsidRPr="00DC2F3A">
              <w:t xml:space="preserve">     </w:t>
            </w:r>
            <w:r w:rsidR="00DC2F3A" w:rsidRPr="00DC2F3A">
              <w:t>7</w:t>
            </w:r>
            <w:r w:rsidR="00AE3D8B" w:rsidRPr="00DC2F3A">
              <w:t>,</w:t>
            </w:r>
            <w:r w:rsidR="00DC2F3A" w:rsidRPr="00DC2F3A">
              <w:t>923</w:t>
            </w:r>
          </w:p>
        </w:tc>
      </w:tr>
    </w:tbl>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rPr>
          <w:highlight w:val="yellow"/>
        </w:rPr>
      </w:pPr>
    </w:p>
    <w:p w:rsidR="0023495C" w:rsidRDefault="0023495C" w:rsidP="003D1C18">
      <w:pPr>
        <w:keepNext/>
        <w:keepLines/>
        <w:widowControl/>
        <w:tabs>
          <w:tab w:val="left" w:pos="720"/>
          <w:tab w:val="left" w:pos="1440"/>
          <w:tab w:val="center" w:pos="5400"/>
        </w:tabs>
        <w:suppressAutoHyphens/>
        <w:rPr>
          <w:highlight w:val="yellow"/>
        </w:rPr>
      </w:pPr>
    </w:p>
    <w:p w:rsidR="003D1C18" w:rsidRDefault="003D1C18" w:rsidP="003D1C18">
      <w:pPr>
        <w:keepNext/>
        <w:keepLines/>
        <w:widowControl/>
        <w:tabs>
          <w:tab w:val="left" w:pos="720"/>
          <w:tab w:val="left" w:pos="1440"/>
          <w:tab w:val="center" w:pos="5400"/>
        </w:tabs>
        <w:suppressAutoHyphens/>
        <w:rPr>
          <w:highlight w:val="yellow"/>
        </w:rPr>
      </w:pPr>
    </w:p>
    <w:p w:rsidR="003D1C18" w:rsidRDefault="003D1C18" w:rsidP="003D1C18">
      <w:pPr>
        <w:keepNext/>
        <w:keepLines/>
        <w:widowControl/>
        <w:tabs>
          <w:tab w:val="left" w:pos="720"/>
          <w:tab w:val="left" w:pos="1440"/>
          <w:tab w:val="center" w:pos="5400"/>
        </w:tabs>
        <w:suppressAutoHyphens/>
        <w:rPr>
          <w:highlight w:val="yellow"/>
        </w:rPr>
      </w:pPr>
    </w:p>
    <w:p w:rsidR="003D1C18" w:rsidRDefault="003D1C18" w:rsidP="003D1C18">
      <w:pPr>
        <w:keepNext/>
        <w:keepLines/>
        <w:widowControl/>
        <w:tabs>
          <w:tab w:val="left" w:pos="720"/>
          <w:tab w:val="left" w:pos="1440"/>
          <w:tab w:val="center" w:pos="5400"/>
        </w:tabs>
        <w:suppressAutoHyphens/>
        <w:rPr>
          <w:highlight w:val="yellow"/>
        </w:rPr>
      </w:pPr>
    </w:p>
    <w:p w:rsidR="003D1C18" w:rsidRDefault="003D1C18" w:rsidP="003D1C18">
      <w:pPr>
        <w:keepNext/>
        <w:keepLines/>
        <w:widowControl/>
        <w:tabs>
          <w:tab w:val="left" w:pos="720"/>
          <w:tab w:val="left" w:pos="1440"/>
          <w:tab w:val="center" w:pos="5400"/>
        </w:tabs>
        <w:suppressAutoHyphens/>
        <w:rPr>
          <w:highlight w:val="yellow"/>
        </w:rPr>
      </w:pPr>
    </w:p>
    <w:p w:rsidR="003D1C18" w:rsidRPr="0053635E" w:rsidRDefault="003D1C18" w:rsidP="003D1C18">
      <w:pPr>
        <w:keepNext/>
        <w:keepLines/>
        <w:widowControl/>
        <w:tabs>
          <w:tab w:val="left" w:pos="720"/>
          <w:tab w:val="left" w:pos="1440"/>
          <w:tab w:val="center" w:pos="5400"/>
        </w:tabs>
        <w:suppressAutoHyphens/>
        <w:rPr>
          <w:b/>
          <w:bCs/>
          <w:highlight w:val="yellow"/>
        </w:rPr>
      </w:pPr>
    </w:p>
    <w:p w:rsidR="0023495C" w:rsidRPr="0053635E" w:rsidRDefault="0023495C" w:rsidP="0023495C">
      <w:pPr>
        <w:pStyle w:val="BodyTextFirstIndent"/>
        <w:ind w:firstLine="0"/>
        <w:rPr>
          <w:b/>
          <w:bCs/>
          <w:highlight w:val="yellow"/>
        </w:rPr>
      </w:pPr>
    </w:p>
    <w:p w:rsidR="00616E82" w:rsidRPr="00B71C04" w:rsidRDefault="0023495C" w:rsidP="0023495C">
      <w:pPr>
        <w:pStyle w:val="BodyTextFirstIndent"/>
        <w:ind w:firstLine="0"/>
        <w:rPr>
          <w:b/>
          <w:bCs/>
          <w:sz w:val="22"/>
        </w:rPr>
      </w:pPr>
      <w:r w:rsidRPr="00B71C04">
        <w:rPr>
          <w:b/>
          <w:bCs/>
          <w:sz w:val="22"/>
        </w:rPr>
        <w:lastRenderedPageBreak/>
        <w:t>1</w:t>
      </w:r>
      <w:r w:rsidR="00967665" w:rsidRPr="00B71C04">
        <w:rPr>
          <w:b/>
          <w:bCs/>
          <w:sz w:val="22"/>
        </w:rPr>
        <w:t>4</w:t>
      </w:r>
      <w:r w:rsidRPr="00B71C04">
        <w:rPr>
          <w:b/>
          <w:bCs/>
          <w:sz w:val="22"/>
        </w:rPr>
        <w:t>. Guarantor Financial Information (continued)</w:t>
      </w:r>
    </w:p>
    <w:p w:rsidR="0023495C" w:rsidRPr="003D1C18" w:rsidRDefault="0023495C" w:rsidP="00A32CB4">
      <w:pPr>
        <w:keepNext/>
        <w:keepLines/>
        <w:widowControl/>
        <w:tabs>
          <w:tab w:val="left" w:pos="720"/>
          <w:tab w:val="left" w:pos="1440"/>
          <w:tab w:val="center" w:pos="5400"/>
        </w:tabs>
        <w:suppressAutoHyphens/>
        <w:rPr>
          <w:b/>
          <w:bCs/>
        </w:rPr>
      </w:pPr>
    </w:p>
    <w:p w:rsidR="0023495C" w:rsidRPr="003D1C18" w:rsidRDefault="0023495C" w:rsidP="00A32CB4">
      <w:pPr>
        <w:keepNext/>
        <w:keepLines/>
        <w:widowControl/>
        <w:tabs>
          <w:tab w:val="left" w:pos="720"/>
          <w:tab w:val="left" w:pos="1440"/>
          <w:tab w:val="center" w:pos="5400"/>
        </w:tabs>
        <w:suppressAutoHyphens/>
        <w:rPr>
          <w:b/>
          <w:bCs/>
        </w:rPr>
      </w:pPr>
    </w:p>
    <w:p w:rsidR="00744A72" w:rsidRPr="003D1C18" w:rsidRDefault="00744A72" w:rsidP="00744A72">
      <w:pPr>
        <w:keepNext/>
        <w:keepLines/>
        <w:widowControl/>
        <w:tabs>
          <w:tab w:val="left" w:pos="720"/>
          <w:tab w:val="left" w:pos="1440"/>
          <w:tab w:val="center" w:pos="5400"/>
        </w:tabs>
        <w:suppressAutoHyphens/>
        <w:jc w:val="center"/>
        <w:rPr>
          <w:b/>
          <w:bCs/>
        </w:rPr>
      </w:pPr>
      <w:r w:rsidRPr="003D1C18">
        <w:rPr>
          <w:b/>
          <w:bCs/>
        </w:rPr>
        <w:t>TRAC Intermodal LLC</w:t>
      </w:r>
    </w:p>
    <w:p w:rsidR="00744A72" w:rsidRPr="003D1C18" w:rsidRDefault="00744A72" w:rsidP="00744A72">
      <w:pPr>
        <w:widowControl/>
        <w:tabs>
          <w:tab w:val="center" w:pos="5400"/>
        </w:tabs>
        <w:suppressAutoHyphens/>
        <w:jc w:val="center"/>
        <w:rPr>
          <w:b/>
          <w:bCs/>
        </w:rPr>
      </w:pPr>
      <w:r w:rsidRPr="003D1C18">
        <w:rPr>
          <w:b/>
          <w:bCs/>
        </w:rPr>
        <w:t>Condensed Consolidating Statement of Cash Flows</w:t>
      </w:r>
    </w:p>
    <w:p w:rsidR="00CA14BE" w:rsidRDefault="00744A72" w:rsidP="00744A72">
      <w:pPr>
        <w:widowControl/>
        <w:tabs>
          <w:tab w:val="center" w:pos="5400"/>
        </w:tabs>
        <w:suppressAutoHyphens/>
        <w:spacing w:after="240"/>
        <w:jc w:val="center"/>
        <w:rPr>
          <w:b/>
          <w:bCs/>
        </w:rPr>
      </w:pPr>
      <w:r w:rsidRPr="003D1C18">
        <w:rPr>
          <w:b/>
          <w:bCs/>
        </w:rPr>
        <w:t xml:space="preserve">For The </w:t>
      </w:r>
      <w:r w:rsidR="003D1C18">
        <w:rPr>
          <w:b/>
          <w:bCs/>
        </w:rPr>
        <w:t>Three</w:t>
      </w:r>
      <w:r w:rsidR="00941815" w:rsidRPr="003D1C18">
        <w:rPr>
          <w:b/>
          <w:bCs/>
        </w:rPr>
        <w:t xml:space="preserve"> Months</w:t>
      </w:r>
      <w:r w:rsidRPr="003D1C18">
        <w:rPr>
          <w:b/>
          <w:bCs/>
        </w:rPr>
        <w:t xml:space="preserve"> Ended </w:t>
      </w:r>
      <w:r w:rsidR="003D1C18">
        <w:rPr>
          <w:b/>
          <w:bCs/>
        </w:rPr>
        <w:t>March</w:t>
      </w:r>
      <w:r w:rsidRPr="003D1C18">
        <w:rPr>
          <w:b/>
          <w:bCs/>
        </w:rPr>
        <w:t> 3</w:t>
      </w:r>
      <w:r w:rsidR="003D1C18">
        <w:rPr>
          <w:b/>
          <w:bCs/>
        </w:rPr>
        <w:t>1</w:t>
      </w:r>
      <w:r w:rsidRPr="003D1C18">
        <w:rPr>
          <w:b/>
          <w:bCs/>
        </w:rPr>
        <w:t>, 201</w:t>
      </w:r>
      <w:r w:rsidR="003D1C18">
        <w:rPr>
          <w:b/>
          <w:bCs/>
        </w:rPr>
        <w:t>4</w:t>
      </w:r>
    </w:p>
    <w:p w:rsidR="00672BD4" w:rsidRPr="003D1C18" w:rsidRDefault="00672BD4" w:rsidP="00744A72">
      <w:pPr>
        <w:widowControl/>
        <w:tabs>
          <w:tab w:val="center" w:pos="5400"/>
        </w:tabs>
        <w:suppressAutoHyphens/>
        <w:spacing w:after="240"/>
        <w:jc w:val="center"/>
        <w:rPr>
          <w:b/>
          <w:bCs/>
        </w:rPr>
      </w:pPr>
    </w:p>
    <w:tbl>
      <w:tblPr>
        <w:tblW w:w="5000" w:type="pct"/>
        <w:jc w:val="center"/>
        <w:tblCellMar>
          <w:left w:w="72" w:type="dxa"/>
          <w:right w:w="72" w:type="dxa"/>
        </w:tblCellMar>
        <w:tblLook w:val="0000" w:firstRow="0" w:lastRow="0" w:firstColumn="0" w:lastColumn="0" w:noHBand="0" w:noVBand="0"/>
      </w:tblPr>
      <w:tblGrid>
        <w:gridCol w:w="4009"/>
        <w:gridCol w:w="1243"/>
        <w:gridCol w:w="1243"/>
        <w:gridCol w:w="1245"/>
        <w:gridCol w:w="1245"/>
        <w:gridCol w:w="1239"/>
      </w:tblGrid>
      <w:tr w:rsidR="00CA14BE" w:rsidRPr="0053635E" w:rsidTr="009864A4">
        <w:trPr>
          <w:cantSplit/>
          <w:jc w:val="center"/>
        </w:trPr>
        <w:tc>
          <w:tcPr>
            <w:tcW w:w="1960" w:type="pct"/>
            <w:tcBorders>
              <w:top w:val="nil"/>
              <w:left w:val="nil"/>
              <w:bottom w:val="nil"/>
              <w:right w:val="nil"/>
            </w:tcBorders>
            <w:vAlign w:val="bottom"/>
          </w:tcPr>
          <w:p w:rsidR="00CA14BE" w:rsidRPr="003D1C18"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p>
        </w:tc>
        <w:tc>
          <w:tcPr>
            <w:tcW w:w="608" w:type="pct"/>
            <w:tcBorders>
              <w:top w:val="nil"/>
              <w:left w:val="nil"/>
              <w:bottom w:val="nil"/>
              <w:right w:val="nil"/>
            </w:tcBorders>
            <w:vAlign w:val="bottom"/>
          </w:tcPr>
          <w:p w:rsidR="00CA14BE" w:rsidRPr="003D1C18" w:rsidRDefault="00E25893"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3D1C18">
              <w:rPr>
                <w:b/>
                <w:bCs/>
                <w:sz w:val="16"/>
                <w:szCs w:val="18"/>
              </w:rPr>
              <w:t>Company</w:t>
            </w:r>
            <w:r w:rsidR="00744A72" w:rsidRPr="003D1C18">
              <w:rPr>
                <w:b/>
                <w:bCs/>
                <w:sz w:val="16"/>
                <w:szCs w:val="18"/>
              </w:rPr>
              <w:br/>
            </w:r>
            <w:r w:rsidR="00CA14BE" w:rsidRPr="003D1C18">
              <w:rPr>
                <w:b/>
                <w:bCs/>
                <w:sz w:val="16"/>
                <w:szCs w:val="18"/>
              </w:rPr>
              <w:t>Parent</w:t>
            </w:r>
          </w:p>
        </w:tc>
        <w:tc>
          <w:tcPr>
            <w:tcW w:w="608" w:type="pct"/>
            <w:tcBorders>
              <w:top w:val="nil"/>
              <w:left w:val="nil"/>
              <w:bottom w:val="nil"/>
              <w:right w:val="nil"/>
            </w:tcBorders>
            <w:vAlign w:val="bottom"/>
          </w:tcPr>
          <w:p w:rsidR="00CA14BE" w:rsidRPr="003D1C18"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3D1C18">
              <w:rPr>
                <w:b/>
                <w:bCs/>
                <w:sz w:val="16"/>
                <w:szCs w:val="18"/>
              </w:rPr>
              <w:t>Guarantor</w:t>
            </w:r>
            <w:r w:rsidR="00744A72" w:rsidRPr="003D1C18">
              <w:rPr>
                <w:b/>
                <w:bCs/>
                <w:sz w:val="16"/>
                <w:szCs w:val="18"/>
              </w:rPr>
              <w:br/>
            </w:r>
            <w:r w:rsidRPr="003D1C18">
              <w:rPr>
                <w:b/>
                <w:bCs/>
                <w:sz w:val="16"/>
                <w:szCs w:val="18"/>
              </w:rPr>
              <w:t>Subsidiaries</w:t>
            </w:r>
          </w:p>
        </w:tc>
        <w:tc>
          <w:tcPr>
            <w:tcW w:w="609" w:type="pct"/>
            <w:tcBorders>
              <w:top w:val="nil"/>
              <w:left w:val="nil"/>
              <w:bottom w:val="nil"/>
              <w:right w:val="nil"/>
            </w:tcBorders>
            <w:vAlign w:val="bottom"/>
          </w:tcPr>
          <w:p w:rsidR="00CA14BE" w:rsidRPr="003D1C18"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3D1C18">
              <w:rPr>
                <w:b/>
                <w:bCs/>
                <w:sz w:val="16"/>
                <w:szCs w:val="18"/>
              </w:rPr>
              <w:t>Non</w:t>
            </w:r>
            <w:r w:rsidR="00744A72" w:rsidRPr="003D1C18">
              <w:rPr>
                <w:b/>
                <w:bCs/>
                <w:sz w:val="16"/>
                <w:szCs w:val="18"/>
              </w:rPr>
              <w:t>-</w:t>
            </w:r>
            <w:r w:rsidRPr="003D1C18">
              <w:rPr>
                <w:b/>
                <w:bCs/>
                <w:sz w:val="16"/>
                <w:szCs w:val="18"/>
              </w:rPr>
              <w:t>Guarantor</w:t>
            </w:r>
            <w:r w:rsidR="00744A72" w:rsidRPr="003D1C18">
              <w:rPr>
                <w:b/>
                <w:bCs/>
                <w:sz w:val="16"/>
                <w:szCs w:val="18"/>
              </w:rPr>
              <w:br/>
            </w:r>
            <w:r w:rsidRPr="003D1C18">
              <w:rPr>
                <w:b/>
                <w:bCs/>
                <w:sz w:val="16"/>
                <w:szCs w:val="18"/>
              </w:rPr>
              <w:t>Subsidiaries</w:t>
            </w:r>
          </w:p>
        </w:tc>
        <w:tc>
          <w:tcPr>
            <w:tcW w:w="609" w:type="pct"/>
            <w:tcBorders>
              <w:top w:val="nil"/>
              <w:left w:val="nil"/>
              <w:bottom w:val="nil"/>
              <w:right w:val="nil"/>
            </w:tcBorders>
            <w:vAlign w:val="bottom"/>
          </w:tcPr>
          <w:p w:rsidR="00CA14BE" w:rsidRPr="003D1C18"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3D1C18">
              <w:rPr>
                <w:b/>
                <w:bCs/>
                <w:sz w:val="16"/>
                <w:szCs w:val="18"/>
              </w:rPr>
              <w:t>Eliminations</w:t>
            </w:r>
          </w:p>
        </w:tc>
        <w:tc>
          <w:tcPr>
            <w:tcW w:w="607" w:type="pct"/>
            <w:tcBorders>
              <w:top w:val="nil"/>
              <w:left w:val="nil"/>
              <w:bottom w:val="nil"/>
              <w:right w:val="nil"/>
            </w:tcBorders>
            <w:vAlign w:val="bottom"/>
          </w:tcPr>
          <w:p w:rsidR="00CA14BE" w:rsidRPr="003D1C18"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3D1C18">
              <w:rPr>
                <w:b/>
                <w:bCs/>
                <w:sz w:val="16"/>
                <w:szCs w:val="18"/>
              </w:rPr>
              <w:t>Consolidated</w:t>
            </w:r>
          </w:p>
        </w:tc>
      </w:tr>
      <w:tr w:rsidR="00CA14BE" w:rsidRPr="0053635E" w:rsidTr="009864A4">
        <w:trPr>
          <w:cantSplit/>
          <w:jc w:val="center"/>
        </w:trPr>
        <w:tc>
          <w:tcPr>
            <w:tcW w:w="1960" w:type="pct"/>
            <w:tcBorders>
              <w:top w:val="nil"/>
              <w:left w:val="nil"/>
              <w:bottom w:val="nil"/>
              <w:right w:val="nil"/>
            </w:tcBorders>
          </w:tcPr>
          <w:p w:rsidR="00CA14BE" w:rsidRPr="00FC76BB" w:rsidRDefault="00CA14BE" w:rsidP="00EF062E">
            <w:pPr>
              <w:widowControl/>
              <w:suppressAutoHyphens/>
              <w:ind w:left="200" w:hanging="200"/>
            </w:pPr>
            <w:r w:rsidRPr="00FC76BB">
              <w:rPr>
                <w:b/>
                <w:bCs/>
              </w:rPr>
              <w:t xml:space="preserve">Net cash </w:t>
            </w:r>
            <w:r w:rsidR="00CE44AA" w:rsidRPr="00FC76BB">
              <w:rPr>
                <w:b/>
                <w:bCs/>
              </w:rPr>
              <w:t>provided by</w:t>
            </w:r>
            <w:r w:rsidR="00EF062E" w:rsidRPr="00FC76BB">
              <w:rPr>
                <w:b/>
                <w:bCs/>
              </w:rPr>
              <w:t xml:space="preserve"> </w:t>
            </w:r>
            <w:r w:rsidRPr="00FC76BB">
              <w:rPr>
                <w:b/>
                <w:bCs/>
              </w:rPr>
              <w:t>operating activities</w:t>
            </w:r>
            <w:r w:rsidRPr="00FC76BB">
              <w:tab/>
            </w:r>
          </w:p>
        </w:tc>
        <w:tc>
          <w:tcPr>
            <w:tcW w:w="608" w:type="pct"/>
            <w:tcBorders>
              <w:top w:val="nil"/>
              <w:left w:val="nil"/>
              <w:bottom w:val="nil"/>
              <w:right w:val="nil"/>
            </w:tcBorders>
            <w:vAlign w:val="bottom"/>
          </w:tcPr>
          <w:p w:rsidR="00CA14BE" w:rsidRPr="00627F0A" w:rsidRDefault="00CA14BE" w:rsidP="00C65CA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27F0A">
              <w:t>$</w:t>
            </w:r>
            <w:r w:rsidR="00A21934" w:rsidRPr="00627F0A">
              <w:t xml:space="preserve">    </w:t>
            </w:r>
            <w:r w:rsidR="00C65CA5" w:rsidRPr="00627F0A">
              <w:t xml:space="preserve"> </w:t>
            </w:r>
            <w:r w:rsidR="00A21934" w:rsidRPr="00627F0A">
              <w:t xml:space="preserve">          </w:t>
            </w:r>
            <w:r w:rsidR="00744A72" w:rsidRPr="00627F0A">
              <w:t>—</w:t>
            </w:r>
          </w:p>
        </w:tc>
        <w:tc>
          <w:tcPr>
            <w:tcW w:w="608" w:type="pct"/>
            <w:tcBorders>
              <w:top w:val="nil"/>
              <w:left w:val="nil"/>
              <w:bottom w:val="nil"/>
              <w:right w:val="nil"/>
            </w:tcBorders>
            <w:vAlign w:val="bottom"/>
          </w:tcPr>
          <w:p w:rsidR="00CA14BE" w:rsidRPr="00F91E53" w:rsidRDefault="00CA14BE" w:rsidP="009D042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w:t>
            </w:r>
            <w:r w:rsidR="00A21934" w:rsidRPr="00F91E53">
              <w:t xml:space="preserve">        </w:t>
            </w:r>
            <w:r w:rsidR="00627F0A" w:rsidRPr="00F91E53">
              <w:t>21</w:t>
            </w:r>
            <w:r w:rsidR="00297627" w:rsidRPr="00F91E53">
              <w:t>,</w:t>
            </w:r>
            <w:r w:rsidR="009D0423">
              <w:t>800</w:t>
            </w:r>
          </w:p>
        </w:tc>
        <w:tc>
          <w:tcPr>
            <w:tcW w:w="609" w:type="pct"/>
            <w:tcBorders>
              <w:top w:val="nil"/>
              <w:left w:val="nil"/>
              <w:bottom w:val="nil"/>
              <w:right w:val="nil"/>
            </w:tcBorders>
            <w:vAlign w:val="bottom"/>
          </w:tcPr>
          <w:p w:rsidR="00CA14BE" w:rsidRPr="00F91E53" w:rsidRDefault="00297627" w:rsidP="00F91E5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w:t>
            </w:r>
            <w:r w:rsidR="00A21934" w:rsidRPr="00F91E53">
              <w:t xml:space="preserve">         </w:t>
            </w:r>
            <w:r w:rsidR="00B41CAA" w:rsidRPr="00F91E53">
              <w:t xml:space="preserve">    </w:t>
            </w:r>
            <w:r w:rsidR="00A21934" w:rsidRPr="00F91E53">
              <w:t xml:space="preserve"> </w:t>
            </w:r>
            <w:r w:rsidR="00F91E53" w:rsidRPr="00F91E53">
              <w:t>777</w:t>
            </w:r>
          </w:p>
        </w:tc>
        <w:tc>
          <w:tcPr>
            <w:tcW w:w="609" w:type="pct"/>
            <w:tcBorders>
              <w:top w:val="nil"/>
              <w:left w:val="nil"/>
              <w:bottom w:val="nil"/>
              <w:right w:val="nil"/>
            </w:tcBorders>
            <w:vAlign w:val="bottom"/>
          </w:tcPr>
          <w:p w:rsidR="00CA14BE" w:rsidRPr="00E918A8" w:rsidRDefault="00297627" w:rsidP="00E918A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918A8">
              <w:t>$</w:t>
            </w:r>
            <w:r w:rsidR="00A21934" w:rsidRPr="00E918A8">
              <w:t xml:space="preserve">   </w:t>
            </w:r>
            <w:r w:rsidR="00C65CA5" w:rsidRPr="00E918A8">
              <w:t xml:space="preserve">  </w:t>
            </w:r>
            <w:r w:rsidR="00A21934" w:rsidRPr="00E918A8">
              <w:t xml:space="preserve">     </w:t>
            </w:r>
            <w:r w:rsidR="00E918A8" w:rsidRPr="00E918A8">
              <w:t xml:space="preserve">   374</w:t>
            </w:r>
          </w:p>
        </w:tc>
        <w:tc>
          <w:tcPr>
            <w:tcW w:w="607" w:type="pct"/>
            <w:tcBorders>
              <w:top w:val="nil"/>
              <w:left w:val="nil"/>
              <w:bottom w:val="nil"/>
              <w:right w:val="nil"/>
            </w:tcBorders>
            <w:vAlign w:val="bottom"/>
          </w:tcPr>
          <w:p w:rsidR="00CA14BE" w:rsidRPr="00770355" w:rsidRDefault="00297627" w:rsidP="009D042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770355">
              <w:t>$</w:t>
            </w:r>
            <w:r w:rsidR="00E918A8">
              <w:t xml:space="preserve"> </w:t>
            </w:r>
            <w:r w:rsidR="00A21934" w:rsidRPr="00770355">
              <w:t xml:space="preserve">       </w:t>
            </w:r>
            <w:r w:rsidR="00770355" w:rsidRPr="00770355">
              <w:t>2</w:t>
            </w:r>
            <w:r w:rsidR="00E918A8">
              <w:t>2</w:t>
            </w:r>
            <w:r w:rsidRPr="00770355">
              <w:t>,</w:t>
            </w:r>
            <w:r w:rsidR="00E918A8">
              <w:t>9</w:t>
            </w:r>
            <w:r w:rsidR="009D0423">
              <w:t>5</w:t>
            </w:r>
            <w:r w:rsidR="00E918A8">
              <w:t>1</w:t>
            </w:r>
          </w:p>
        </w:tc>
      </w:tr>
      <w:tr w:rsidR="00CA14BE" w:rsidRPr="0053635E" w:rsidTr="009864A4">
        <w:trPr>
          <w:cantSplit/>
          <w:jc w:val="center"/>
        </w:trPr>
        <w:tc>
          <w:tcPr>
            <w:tcW w:w="1960" w:type="pct"/>
            <w:tcBorders>
              <w:top w:val="nil"/>
              <w:left w:val="nil"/>
              <w:bottom w:val="nil"/>
              <w:right w:val="nil"/>
            </w:tcBorders>
          </w:tcPr>
          <w:p w:rsidR="00CA14BE" w:rsidRPr="00FC76BB"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FC76BB">
              <w:rPr>
                <w:b/>
                <w:bCs/>
              </w:rPr>
              <w:t>Investing activities:</w:t>
            </w:r>
          </w:p>
        </w:tc>
        <w:tc>
          <w:tcPr>
            <w:tcW w:w="608" w:type="pct"/>
            <w:tcBorders>
              <w:top w:val="nil"/>
              <w:left w:val="nil"/>
              <w:bottom w:val="nil"/>
              <w:right w:val="nil"/>
            </w:tcBorders>
            <w:vAlign w:val="bottom"/>
          </w:tcPr>
          <w:p w:rsidR="00CA14BE" w:rsidRPr="00627F0A"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08" w:type="pct"/>
            <w:tcBorders>
              <w:top w:val="nil"/>
              <w:left w:val="nil"/>
              <w:bottom w:val="nil"/>
              <w:right w:val="nil"/>
            </w:tcBorders>
            <w:vAlign w:val="bottom"/>
          </w:tcPr>
          <w:p w:rsidR="00CA14BE" w:rsidRPr="00F91E53"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09" w:type="pct"/>
            <w:tcBorders>
              <w:top w:val="nil"/>
              <w:left w:val="nil"/>
              <w:bottom w:val="nil"/>
              <w:right w:val="nil"/>
            </w:tcBorders>
            <w:vAlign w:val="bottom"/>
          </w:tcPr>
          <w:p w:rsidR="00CA14BE" w:rsidRPr="00F91E53"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09" w:type="pct"/>
            <w:tcBorders>
              <w:top w:val="nil"/>
              <w:left w:val="nil"/>
              <w:bottom w:val="nil"/>
              <w:right w:val="nil"/>
            </w:tcBorders>
            <w:vAlign w:val="bottom"/>
          </w:tcPr>
          <w:p w:rsidR="00CA14BE" w:rsidRPr="00E918A8"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07" w:type="pct"/>
            <w:tcBorders>
              <w:top w:val="nil"/>
              <w:left w:val="nil"/>
              <w:bottom w:val="nil"/>
              <w:right w:val="nil"/>
            </w:tcBorders>
            <w:vAlign w:val="bottom"/>
          </w:tcPr>
          <w:p w:rsidR="00CA14BE" w:rsidRPr="00770355"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770355" w:rsidRPr="0053635E" w:rsidTr="009864A4">
        <w:trPr>
          <w:cantSplit/>
          <w:jc w:val="center"/>
        </w:trPr>
        <w:tc>
          <w:tcPr>
            <w:tcW w:w="1960" w:type="pct"/>
            <w:tcBorders>
              <w:top w:val="nil"/>
              <w:left w:val="nil"/>
              <w:bottom w:val="nil"/>
              <w:right w:val="nil"/>
            </w:tcBorders>
          </w:tcPr>
          <w:p w:rsidR="00770355" w:rsidRPr="00FC76BB" w:rsidRDefault="00770355" w:rsidP="0056395A">
            <w:pPr>
              <w:widowControl/>
              <w:suppressAutoHyphens/>
              <w:ind w:left="200" w:hanging="200"/>
            </w:pPr>
            <w:r w:rsidRPr="00FC76BB">
              <w:t>Proceeds from sale of leasing equipment</w:t>
            </w:r>
            <w:r w:rsidRPr="00FC76BB">
              <w:tab/>
            </w:r>
          </w:p>
        </w:tc>
        <w:tc>
          <w:tcPr>
            <w:tcW w:w="608" w:type="pct"/>
            <w:tcBorders>
              <w:top w:val="nil"/>
              <w:left w:val="nil"/>
              <w:bottom w:val="nil"/>
              <w:right w:val="nil"/>
            </w:tcBorders>
            <w:vAlign w:val="bottom"/>
          </w:tcPr>
          <w:p w:rsidR="00770355" w:rsidRPr="00627F0A"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27F0A">
              <w:t>—</w:t>
            </w:r>
          </w:p>
        </w:tc>
        <w:tc>
          <w:tcPr>
            <w:tcW w:w="608" w:type="pct"/>
            <w:tcBorders>
              <w:top w:val="nil"/>
              <w:left w:val="nil"/>
              <w:bottom w:val="nil"/>
              <w:right w:val="nil"/>
            </w:tcBorders>
            <w:vAlign w:val="bottom"/>
          </w:tcPr>
          <w:p w:rsidR="00770355" w:rsidRPr="00F91E53" w:rsidRDefault="00770355" w:rsidP="007703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6,042</w:t>
            </w:r>
          </w:p>
        </w:tc>
        <w:tc>
          <w:tcPr>
            <w:tcW w:w="609" w:type="pct"/>
            <w:tcBorders>
              <w:top w:val="nil"/>
              <w:left w:val="nil"/>
              <w:bottom w:val="nil"/>
              <w:right w:val="nil"/>
            </w:tcBorders>
            <w:vAlign w:val="bottom"/>
          </w:tcPr>
          <w:p w:rsidR="00770355" w:rsidRPr="00F91E53"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w:t>
            </w:r>
          </w:p>
        </w:tc>
        <w:tc>
          <w:tcPr>
            <w:tcW w:w="609" w:type="pct"/>
            <w:tcBorders>
              <w:top w:val="nil"/>
              <w:left w:val="nil"/>
              <w:bottom w:val="nil"/>
              <w:right w:val="nil"/>
            </w:tcBorders>
            <w:vAlign w:val="bottom"/>
          </w:tcPr>
          <w:p w:rsidR="00770355" w:rsidRPr="00E918A8"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918A8">
              <w:t>—</w:t>
            </w:r>
          </w:p>
        </w:tc>
        <w:tc>
          <w:tcPr>
            <w:tcW w:w="607" w:type="pct"/>
            <w:tcBorders>
              <w:top w:val="nil"/>
              <w:left w:val="nil"/>
              <w:bottom w:val="nil"/>
              <w:right w:val="nil"/>
            </w:tcBorders>
            <w:vAlign w:val="bottom"/>
          </w:tcPr>
          <w:p w:rsidR="00770355" w:rsidRPr="00770355" w:rsidRDefault="00770355" w:rsidP="007703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770355">
              <w:t>6,042</w:t>
            </w:r>
          </w:p>
        </w:tc>
      </w:tr>
      <w:tr w:rsidR="00770355" w:rsidRPr="0053635E" w:rsidTr="009864A4">
        <w:trPr>
          <w:cantSplit/>
          <w:jc w:val="center"/>
        </w:trPr>
        <w:tc>
          <w:tcPr>
            <w:tcW w:w="1960" w:type="pct"/>
            <w:tcBorders>
              <w:top w:val="nil"/>
              <w:left w:val="nil"/>
              <w:bottom w:val="nil"/>
              <w:right w:val="nil"/>
            </w:tcBorders>
          </w:tcPr>
          <w:p w:rsidR="00770355" w:rsidRPr="00FC76BB" w:rsidRDefault="00770355" w:rsidP="0056395A">
            <w:pPr>
              <w:widowControl/>
              <w:suppressAutoHyphens/>
              <w:ind w:left="200" w:hanging="200"/>
            </w:pPr>
            <w:r w:rsidRPr="00FC76BB">
              <w:t>Collections on net investment in direct finance leases, net of interest earned</w:t>
            </w:r>
            <w:r w:rsidRPr="00FC76BB">
              <w:tab/>
            </w:r>
          </w:p>
        </w:tc>
        <w:tc>
          <w:tcPr>
            <w:tcW w:w="608" w:type="pct"/>
            <w:tcBorders>
              <w:top w:val="nil"/>
              <w:left w:val="nil"/>
              <w:bottom w:val="nil"/>
              <w:right w:val="nil"/>
            </w:tcBorders>
            <w:vAlign w:val="bottom"/>
          </w:tcPr>
          <w:p w:rsidR="00770355" w:rsidRPr="00627F0A"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27F0A">
              <w:t>—</w:t>
            </w:r>
          </w:p>
        </w:tc>
        <w:tc>
          <w:tcPr>
            <w:tcW w:w="608" w:type="pct"/>
            <w:tcBorders>
              <w:top w:val="nil"/>
              <w:left w:val="nil"/>
              <w:bottom w:val="nil"/>
              <w:right w:val="nil"/>
            </w:tcBorders>
            <w:vAlign w:val="bottom"/>
          </w:tcPr>
          <w:p w:rsidR="00770355" w:rsidRPr="00F91E53" w:rsidRDefault="00770355" w:rsidP="00627F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1,</w:t>
            </w:r>
            <w:r w:rsidR="00627F0A" w:rsidRPr="00F91E53">
              <w:t>561</w:t>
            </w:r>
          </w:p>
        </w:tc>
        <w:tc>
          <w:tcPr>
            <w:tcW w:w="609" w:type="pct"/>
            <w:tcBorders>
              <w:top w:val="nil"/>
              <w:left w:val="nil"/>
              <w:bottom w:val="nil"/>
              <w:right w:val="nil"/>
            </w:tcBorders>
            <w:vAlign w:val="bottom"/>
          </w:tcPr>
          <w:p w:rsidR="00770355" w:rsidRPr="00F91E53"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w:t>
            </w:r>
          </w:p>
        </w:tc>
        <w:tc>
          <w:tcPr>
            <w:tcW w:w="609" w:type="pct"/>
            <w:tcBorders>
              <w:top w:val="nil"/>
              <w:left w:val="nil"/>
              <w:bottom w:val="nil"/>
              <w:right w:val="nil"/>
            </w:tcBorders>
            <w:vAlign w:val="bottom"/>
          </w:tcPr>
          <w:p w:rsidR="00770355" w:rsidRPr="00E918A8" w:rsidRDefault="00770355" w:rsidP="00E918A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918A8">
              <w:t>(</w:t>
            </w:r>
            <w:r w:rsidR="00E918A8" w:rsidRPr="00E918A8">
              <w:t>374</w:t>
            </w:r>
            <w:r w:rsidRPr="00E918A8">
              <w:t>)</w:t>
            </w:r>
          </w:p>
        </w:tc>
        <w:tc>
          <w:tcPr>
            <w:tcW w:w="607" w:type="pct"/>
            <w:tcBorders>
              <w:top w:val="nil"/>
              <w:left w:val="nil"/>
              <w:bottom w:val="nil"/>
              <w:right w:val="nil"/>
            </w:tcBorders>
            <w:vAlign w:val="bottom"/>
          </w:tcPr>
          <w:p w:rsidR="00770355" w:rsidRPr="00770355" w:rsidRDefault="00770355" w:rsidP="007703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770355">
              <w:t>1,187</w:t>
            </w:r>
          </w:p>
        </w:tc>
      </w:tr>
      <w:tr w:rsidR="00770355" w:rsidRPr="0053635E" w:rsidTr="009864A4">
        <w:trPr>
          <w:cantSplit/>
          <w:jc w:val="center"/>
        </w:trPr>
        <w:tc>
          <w:tcPr>
            <w:tcW w:w="1960" w:type="pct"/>
            <w:tcBorders>
              <w:top w:val="nil"/>
              <w:left w:val="nil"/>
              <w:bottom w:val="nil"/>
              <w:right w:val="nil"/>
            </w:tcBorders>
          </w:tcPr>
          <w:p w:rsidR="00770355" w:rsidRPr="00FC76BB" w:rsidRDefault="00770355" w:rsidP="0056395A">
            <w:pPr>
              <w:widowControl/>
              <w:suppressAutoHyphens/>
              <w:ind w:left="200" w:hanging="200"/>
            </w:pPr>
            <w:r w:rsidRPr="00FC76BB">
              <w:t>Purchase of leasing equipment</w:t>
            </w:r>
            <w:r w:rsidRPr="00FC76BB">
              <w:tab/>
            </w:r>
          </w:p>
        </w:tc>
        <w:tc>
          <w:tcPr>
            <w:tcW w:w="608" w:type="pct"/>
            <w:tcBorders>
              <w:top w:val="nil"/>
              <w:left w:val="nil"/>
              <w:bottom w:val="nil"/>
              <w:right w:val="nil"/>
            </w:tcBorders>
            <w:vAlign w:val="bottom"/>
          </w:tcPr>
          <w:p w:rsidR="00770355" w:rsidRPr="00627F0A"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27F0A">
              <w:t>—</w:t>
            </w:r>
          </w:p>
        </w:tc>
        <w:tc>
          <w:tcPr>
            <w:tcW w:w="608" w:type="pct"/>
            <w:tcBorders>
              <w:top w:val="nil"/>
              <w:left w:val="nil"/>
              <w:bottom w:val="nil"/>
              <w:right w:val="nil"/>
            </w:tcBorders>
            <w:vAlign w:val="bottom"/>
          </w:tcPr>
          <w:p w:rsidR="00770355" w:rsidRPr="00F91E53" w:rsidRDefault="00770355" w:rsidP="00FB295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(15,7</w:t>
            </w:r>
            <w:r w:rsidR="00FB2956">
              <w:t>7</w:t>
            </w:r>
            <w:r w:rsidR="00627F0A" w:rsidRPr="00F91E53">
              <w:t>7</w:t>
            </w:r>
            <w:r w:rsidRPr="00F91E53">
              <w:t>)</w:t>
            </w:r>
          </w:p>
        </w:tc>
        <w:tc>
          <w:tcPr>
            <w:tcW w:w="609" w:type="pct"/>
            <w:tcBorders>
              <w:top w:val="nil"/>
              <w:left w:val="nil"/>
              <w:bottom w:val="nil"/>
              <w:right w:val="nil"/>
            </w:tcBorders>
            <w:vAlign w:val="bottom"/>
          </w:tcPr>
          <w:p w:rsidR="00770355" w:rsidRPr="00F91E53"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w:t>
            </w:r>
          </w:p>
        </w:tc>
        <w:tc>
          <w:tcPr>
            <w:tcW w:w="609" w:type="pct"/>
            <w:tcBorders>
              <w:top w:val="nil"/>
              <w:left w:val="nil"/>
              <w:bottom w:val="nil"/>
              <w:right w:val="nil"/>
            </w:tcBorders>
            <w:vAlign w:val="bottom"/>
          </w:tcPr>
          <w:p w:rsidR="00770355" w:rsidRPr="00E918A8"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918A8">
              <w:t>—</w:t>
            </w:r>
          </w:p>
        </w:tc>
        <w:tc>
          <w:tcPr>
            <w:tcW w:w="607" w:type="pct"/>
            <w:tcBorders>
              <w:top w:val="nil"/>
              <w:left w:val="nil"/>
              <w:bottom w:val="nil"/>
              <w:right w:val="nil"/>
            </w:tcBorders>
            <w:vAlign w:val="bottom"/>
          </w:tcPr>
          <w:p w:rsidR="00770355" w:rsidRPr="00770355" w:rsidRDefault="00770355" w:rsidP="00FB295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770355">
              <w:t>(15,7</w:t>
            </w:r>
            <w:r w:rsidR="00FB2956">
              <w:t>7</w:t>
            </w:r>
            <w:r w:rsidR="00E918A8">
              <w:t>7</w:t>
            </w:r>
            <w:r w:rsidRPr="00770355">
              <w:t>)</w:t>
            </w:r>
          </w:p>
        </w:tc>
      </w:tr>
      <w:tr w:rsidR="00770355" w:rsidRPr="0053635E" w:rsidTr="009864A4">
        <w:trPr>
          <w:cantSplit/>
          <w:jc w:val="center"/>
        </w:trPr>
        <w:tc>
          <w:tcPr>
            <w:tcW w:w="1960" w:type="pct"/>
            <w:tcBorders>
              <w:top w:val="nil"/>
              <w:left w:val="nil"/>
              <w:bottom w:val="nil"/>
              <w:right w:val="nil"/>
            </w:tcBorders>
          </w:tcPr>
          <w:p w:rsidR="00770355" w:rsidRPr="00FC76BB" w:rsidRDefault="00770355" w:rsidP="0056395A">
            <w:pPr>
              <w:widowControl/>
              <w:suppressAutoHyphens/>
              <w:spacing w:after="20"/>
              <w:ind w:left="200" w:hanging="200"/>
            </w:pPr>
            <w:r w:rsidRPr="00FC76BB">
              <w:t>Purchase of fixed assets</w:t>
            </w:r>
            <w:r w:rsidRPr="00FC76BB">
              <w:tab/>
            </w:r>
          </w:p>
        </w:tc>
        <w:tc>
          <w:tcPr>
            <w:tcW w:w="608" w:type="pct"/>
            <w:tcBorders>
              <w:top w:val="nil"/>
              <w:left w:val="nil"/>
              <w:bottom w:val="nil"/>
              <w:right w:val="nil"/>
            </w:tcBorders>
            <w:vAlign w:val="bottom"/>
          </w:tcPr>
          <w:p w:rsidR="00770355" w:rsidRPr="00627F0A" w:rsidRDefault="00770355"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627F0A">
              <w:t>—</w:t>
            </w:r>
          </w:p>
        </w:tc>
        <w:tc>
          <w:tcPr>
            <w:tcW w:w="608" w:type="pct"/>
            <w:tcBorders>
              <w:top w:val="nil"/>
              <w:left w:val="nil"/>
              <w:bottom w:val="nil"/>
              <w:right w:val="nil"/>
            </w:tcBorders>
            <w:vAlign w:val="bottom"/>
          </w:tcPr>
          <w:p w:rsidR="00770355" w:rsidRPr="00F91E53" w:rsidRDefault="00770355" w:rsidP="007703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1E53">
              <w:t>(631)</w:t>
            </w:r>
          </w:p>
        </w:tc>
        <w:tc>
          <w:tcPr>
            <w:tcW w:w="609" w:type="pct"/>
            <w:tcBorders>
              <w:top w:val="nil"/>
              <w:left w:val="nil"/>
              <w:bottom w:val="nil"/>
              <w:right w:val="nil"/>
            </w:tcBorders>
            <w:vAlign w:val="bottom"/>
          </w:tcPr>
          <w:p w:rsidR="00770355" w:rsidRPr="00F91E53" w:rsidRDefault="00770355"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1E53">
              <w:t>—</w:t>
            </w:r>
          </w:p>
        </w:tc>
        <w:tc>
          <w:tcPr>
            <w:tcW w:w="609" w:type="pct"/>
            <w:tcBorders>
              <w:top w:val="nil"/>
              <w:left w:val="nil"/>
              <w:bottom w:val="nil"/>
              <w:right w:val="nil"/>
            </w:tcBorders>
            <w:vAlign w:val="bottom"/>
          </w:tcPr>
          <w:p w:rsidR="00770355" w:rsidRPr="00E918A8" w:rsidRDefault="00770355"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E918A8">
              <w:t>—</w:t>
            </w:r>
          </w:p>
        </w:tc>
        <w:tc>
          <w:tcPr>
            <w:tcW w:w="607" w:type="pct"/>
            <w:tcBorders>
              <w:top w:val="nil"/>
              <w:left w:val="nil"/>
              <w:bottom w:val="nil"/>
              <w:right w:val="nil"/>
            </w:tcBorders>
            <w:vAlign w:val="bottom"/>
          </w:tcPr>
          <w:p w:rsidR="00770355" w:rsidRPr="00770355" w:rsidRDefault="00770355" w:rsidP="007703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770355">
              <w:t>(631)</w:t>
            </w:r>
          </w:p>
        </w:tc>
      </w:tr>
      <w:tr w:rsidR="00770355" w:rsidRPr="0053635E" w:rsidTr="009864A4">
        <w:trPr>
          <w:cantSplit/>
          <w:jc w:val="center"/>
        </w:trPr>
        <w:tc>
          <w:tcPr>
            <w:tcW w:w="1960" w:type="pct"/>
            <w:tcBorders>
              <w:top w:val="nil"/>
              <w:left w:val="nil"/>
              <w:bottom w:val="nil"/>
              <w:right w:val="nil"/>
            </w:tcBorders>
          </w:tcPr>
          <w:p w:rsidR="00770355" w:rsidRPr="00FC76BB" w:rsidRDefault="00770355" w:rsidP="007C51D3">
            <w:pPr>
              <w:widowControl/>
              <w:suppressAutoHyphens/>
              <w:ind w:left="200" w:hanging="200"/>
            </w:pPr>
            <w:r w:rsidRPr="00FC76BB">
              <w:rPr>
                <w:b/>
                <w:bCs/>
              </w:rPr>
              <w:t>Net cash used in investing activities</w:t>
            </w:r>
            <w:r w:rsidRPr="00FC76BB">
              <w:tab/>
            </w:r>
          </w:p>
        </w:tc>
        <w:tc>
          <w:tcPr>
            <w:tcW w:w="608" w:type="pct"/>
            <w:tcBorders>
              <w:top w:val="nil"/>
              <w:left w:val="nil"/>
              <w:bottom w:val="nil"/>
              <w:right w:val="nil"/>
            </w:tcBorders>
            <w:vAlign w:val="bottom"/>
          </w:tcPr>
          <w:p w:rsidR="00770355" w:rsidRPr="00627F0A"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27F0A">
              <w:t>—</w:t>
            </w:r>
          </w:p>
        </w:tc>
        <w:tc>
          <w:tcPr>
            <w:tcW w:w="608" w:type="pct"/>
            <w:tcBorders>
              <w:top w:val="nil"/>
              <w:left w:val="nil"/>
              <w:bottom w:val="nil"/>
              <w:right w:val="nil"/>
            </w:tcBorders>
            <w:vAlign w:val="bottom"/>
          </w:tcPr>
          <w:p w:rsidR="00770355" w:rsidRPr="00F91E53" w:rsidRDefault="00770355" w:rsidP="00FB295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w:t>
            </w:r>
            <w:r w:rsidR="00627F0A" w:rsidRPr="00F91E53">
              <w:t>8</w:t>
            </w:r>
            <w:r w:rsidRPr="00F91E53">
              <w:t>,</w:t>
            </w:r>
            <w:r w:rsidR="00FB2956">
              <w:t>805</w:t>
            </w:r>
            <w:r w:rsidRPr="00F91E53">
              <w:t>)</w:t>
            </w:r>
          </w:p>
        </w:tc>
        <w:tc>
          <w:tcPr>
            <w:tcW w:w="609" w:type="pct"/>
            <w:tcBorders>
              <w:top w:val="nil"/>
              <w:left w:val="nil"/>
              <w:bottom w:val="nil"/>
              <w:right w:val="nil"/>
            </w:tcBorders>
            <w:vAlign w:val="bottom"/>
          </w:tcPr>
          <w:p w:rsidR="00770355" w:rsidRPr="00F91E53"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w:t>
            </w:r>
          </w:p>
        </w:tc>
        <w:tc>
          <w:tcPr>
            <w:tcW w:w="609" w:type="pct"/>
            <w:tcBorders>
              <w:top w:val="nil"/>
              <w:left w:val="nil"/>
              <w:bottom w:val="nil"/>
              <w:right w:val="nil"/>
            </w:tcBorders>
            <w:vAlign w:val="bottom"/>
          </w:tcPr>
          <w:p w:rsidR="00770355" w:rsidRPr="00E918A8" w:rsidRDefault="00770355" w:rsidP="00E918A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918A8">
              <w:t>(</w:t>
            </w:r>
            <w:r w:rsidR="00E918A8" w:rsidRPr="00E918A8">
              <w:t>374</w:t>
            </w:r>
            <w:r w:rsidRPr="00E918A8">
              <w:t>)</w:t>
            </w:r>
          </w:p>
        </w:tc>
        <w:tc>
          <w:tcPr>
            <w:tcW w:w="607" w:type="pct"/>
            <w:tcBorders>
              <w:top w:val="nil"/>
              <w:left w:val="nil"/>
              <w:bottom w:val="nil"/>
              <w:right w:val="nil"/>
            </w:tcBorders>
            <w:vAlign w:val="bottom"/>
          </w:tcPr>
          <w:p w:rsidR="00770355" w:rsidRPr="00770355" w:rsidRDefault="00770355" w:rsidP="00FB295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770355">
              <w:t>(9,1</w:t>
            </w:r>
            <w:r w:rsidR="00FB2956">
              <w:t>7</w:t>
            </w:r>
            <w:r w:rsidR="00E918A8">
              <w:t>9</w:t>
            </w:r>
            <w:r w:rsidRPr="00770355">
              <w:t>)</w:t>
            </w:r>
          </w:p>
        </w:tc>
      </w:tr>
      <w:tr w:rsidR="00CA14BE" w:rsidRPr="0053635E" w:rsidTr="009864A4">
        <w:trPr>
          <w:cantSplit/>
          <w:jc w:val="center"/>
        </w:trPr>
        <w:tc>
          <w:tcPr>
            <w:tcW w:w="1960" w:type="pct"/>
            <w:tcBorders>
              <w:top w:val="nil"/>
              <w:left w:val="nil"/>
              <w:bottom w:val="nil"/>
              <w:right w:val="nil"/>
            </w:tcBorders>
          </w:tcPr>
          <w:p w:rsidR="00CA14BE" w:rsidRPr="00FC76BB"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FC76BB">
              <w:rPr>
                <w:b/>
                <w:bCs/>
              </w:rPr>
              <w:t>Financing activities:</w:t>
            </w:r>
          </w:p>
        </w:tc>
        <w:tc>
          <w:tcPr>
            <w:tcW w:w="608" w:type="pct"/>
            <w:tcBorders>
              <w:top w:val="nil"/>
              <w:left w:val="nil"/>
              <w:bottom w:val="nil"/>
              <w:right w:val="nil"/>
            </w:tcBorders>
            <w:vAlign w:val="bottom"/>
          </w:tcPr>
          <w:p w:rsidR="00CA14BE" w:rsidRPr="00627F0A"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08" w:type="pct"/>
            <w:tcBorders>
              <w:top w:val="nil"/>
              <w:left w:val="nil"/>
              <w:bottom w:val="nil"/>
              <w:right w:val="nil"/>
            </w:tcBorders>
            <w:vAlign w:val="bottom"/>
          </w:tcPr>
          <w:p w:rsidR="00CA14BE" w:rsidRPr="00F91E53"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09" w:type="pct"/>
            <w:tcBorders>
              <w:top w:val="nil"/>
              <w:left w:val="nil"/>
              <w:bottom w:val="nil"/>
              <w:right w:val="nil"/>
            </w:tcBorders>
            <w:vAlign w:val="bottom"/>
          </w:tcPr>
          <w:p w:rsidR="00CA14BE" w:rsidRPr="00F91E53"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09" w:type="pct"/>
            <w:tcBorders>
              <w:top w:val="nil"/>
              <w:left w:val="nil"/>
              <w:bottom w:val="nil"/>
              <w:right w:val="nil"/>
            </w:tcBorders>
            <w:vAlign w:val="bottom"/>
          </w:tcPr>
          <w:p w:rsidR="00CA14BE" w:rsidRPr="00E918A8"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07" w:type="pct"/>
            <w:tcBorders>
              <w:top w:val="nil"/>
              <w:left w:val="nil"/>
              <w:bottom w:val="nil"/>
              <w:right w:val="nil"/>
            </w:tcBorders>
            <w:vAlign w:val="bottom"/>
          </w:tcPr>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r>
      <w:tr w:rsidR="00770355" w:rsidRPr="00770355" w:rsidTr="009864A4">
        <w:trPr>
          <w:cantSplit/>
          <w:jc w:val="center"/>
        </w:trPr>
        <w:tc>
          <w:tcPr>
            <w:tcW w:w="1960" w:type="pct"/>
            <w:tcBorders>
              <w:top w:val="nil"/>
              <w:left w:val="nil"/>
              <w:bottom w:val="nil"/>
              <w:right w:val="nil"/>
            </w:tcBorders>
          </w:tcPr>
          <w:p w:rsidR="00770355" w:rsidRPr="00FC76BB" w:rsidRDefault="00770355" w:rsidP="0056395A">
            <w:pPr>
              <w:widowControl/>
              <w:suppressAutoHyphens/>
              <w:ind w:left="200" w:hanging="200"/>
            </w:pPr>
            <w:r w:rsidRPr="00FC76BB">
              <w:t>Proceeds from long-term debt</w:t>
            </w:r>
            <w:r w:rsidRPr="00FC76BB">
              <w:tab/>
            </w:r>
          </w:p>
        </w:tc>
        <w:tc>
          <w:tcPr>
            <w:tcW w:w="608" w:type="pct"/>
            <w:tcBorders>
              <w:top w:val="nil"/>
              <w:left w:val="nil"/>
              <w:bottom w:val="nil"/>
              <w:right w:val="nil"/>
            </w:tcBorders>
            <w:vAlign w:val="bottom"/>
          </w:tcPr>
          <w:p w:rsidR="00770355" w:rsidRPr="00627F0A"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27F0A">
              <w:t>—</w:t>
            </w:r>
          </w:p>
        </w:tc>
        <w:tc>
          <w:tcPr>
            <w:tcW w:w="608" w:type="pct"/>
            <w:tcBorders>
              <w:top w:val="nil"/>
              <w:left w:val="nil"/>
              <w:bottom w:val="nil"/>
              <w:right w:val="nil"/>
            </w:tcBorders>
            <w:vAlign w:val="bottom"/>
          </w:tcPr>
          <w:p w:rsidR="00770355" w:rsidRPr="00F91E53" w:rsidRDefault="00770355" w:rsidP="007703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22,000</w:t>
            </w:r>
          </w:p>
        </w:tc>
        <w:tc>
          <w:tcPr>
            <w:tcW w:w="609" w:type="pct"/>
            <w:tcBorders>
              <w:top w:val="nil"/>
              <w:left w:val="nil"/>
              <w:bottom w:val="nil"/>
              <w:right w:val="nil"/>
            </w:tcBorders>
            <w:vAlign w:val="bottom"/>
          </w:tcPr>
          <w:p w:rsidR="00770355" w:rsidRPr="00F91E53"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w:t>
            </w:r>
          </w:p>
        </w:tc>
        <w:tc>
          <w:tcPr>
            <w:tcW w:w="609" w:type="pct"/>
            <w:tcBorders>
              <w:top w:val="nil"/>
              <w:left w:val="nil"/>
              <w:bottom w:val="nil"/>
              <w:right w:val="nil"/>
            </w:tcBorders>
            <w:vAlign w:val="bottom"/>
          </w:tcPr>
          <w:p w:rsidR="00770355" w:rsidRPr="00E918A8"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918A8">
              <w:t>—</w:t>
            </w:r>
          </w:p>
        </w:tc>
        <w:tc>
          <w:tcPr>
            <w:tcW w:w="607" w:type="pct"/>
            <w:tcBorders>
              <w:top w:val="nil"/>
              <w:left w:val="nil"/>
              <w:bottom w:val="nil"/>
              <w:right w:val="nil"/>
            </w:tcBorders>
            <w:vAlign w:val="bottom"/>
          </w:tcPr>
          <w:p w:rsidR="00770355" w:rsidRPr="00770355" w:rsidRDefault="00770355" w:rsidP="007703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770355">
              <w:t>22,000</w:t>
            </w:r>
          </w:p>
        </w:tc>
      </w:tr>
      <w:tr w:rsidR="00770355" w:rsidRPr="00770355" w:rsidTr="009864A4">
        <w:trPr>
          <w:cantSplit/>
          <w:jc w:val="center"/>
        </w:trPr>
        <w:tc>
          <w:tcPr>
            <w:tcW w:w="1960" w:type="pct"/>
            <w:tcBorders>
              <w:top w:val="nil"/>
              <w:left w:val="nil"/>
              <w:bottom w:val="nil"/>
              <w:right w:val="nil"/>
            </w:tcBorders>
          </w:tcPr>
          <w:p w:rsidR="00770355" w:rsidRPr="00FC76BB" w:rsidRDefault="00770355" w:rsidP="0056395A">
            <w:pPr>
              <w:widowControl/>
              <w:suppressAutoHyphens/>
              <w:ind w:left="200" w:hanging="200"/>
            </w:pPr>
            <w:r w:rsidRPr="00FC76BB">
              <w:t>Repayments of long-term debt</w:t>
            </w:r>
            <w:r w:rsidRPr="00FC76BB">
              <w:tab/>
            </w:r>
          </w:p>
        </w:tc>
        <w:tc>
          <w:tcPr>
            <w:tcW w:w="608" w:type="pct"/>
            <w:tcBorders>
              <w:top w:val="nil"/>
              <w:left w:val="nil"/>
              <w:bottom w:val="nil"/>
              <w:right w:val="nil"/>
            </w:tcBorders>
            <w:vAlign w:val="bottom"/>
          </w:tcPr>
          <w:p w:rsidR="00770355" w:rsidRPr="00627F0A"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27F0A">
              <w:t>—</w:t>
            </w:r>
          </w:p>
        </w:tc>
        <w:tc>
          <w:tcPr>
            <w:tcW w:w="608" w:type="pct"/>
            <w:tcBorders>
              <w:top w:val="nil"/>
              <w:left w:val="nil"/>
              <w:bottom w:val="nil"/>
              <w:right w:val="nil"/>
            </w:tcBorders>
            <w:vAlign w:val="bottom"/>
          </w:tcPr>
          <w:p w:rsidR="00770355" w:rsidRPr="00F91E53" w:rsidRDefault="00770355" w:rsidP="007703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(40,744)</w:t>
            </w:r>
          </w:p>
        </w:tc>
        <w:tc>
          <w:tcPr>
            <w:tcW w:w="609" w:type="pct"/>
            <w:tcBorders>
              <w:top w:val="nil"/>
              <w:left w:val="nil"/>
              <w:bottom w:val="nil"/>
              <w:right w:val="nil"/>
            </w:tcBorders>
            <w:vAlign w:val="bottom"/>
          </w:tcPr>
          <w:p w:rsidR="00770355" w:rsidRPr="00F91E53"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w:t>
            </w:r>
          </w:p>
        </w:tc>
        <w:tc>
          <w:tcPr>
            <w:tcW w:w="609" w:type="pct"/>
            <w:tcBorders>
              <w:top w:val="nil"/>
              <w:left w:val="nil"/>
              <w:bottom w:val="nil"/>
              <w:right w:val="nil"/>
            </w:tcBorders>
            <w:vAlign w:val="bottom"/>
          </w:tcPr>
          <w:p w:rsidR="00770355" w:rsidRPr="00E918A8"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918A8">
              <w:t>—</w:t>
            </w:r>
          </w:p>
        </w:tc>
        <w:tc>
          <w:tcPr>
            <w:tcW w:w="607" w:type="pct"/>
            <w:tcBorders>
              <w:top w:val="nil"/>
              <w:left w:val="nil"/>
              <w:bottom w:val="nil"/>
              <w:right w:val="nil"/>
            </w:tcBorders>
            <w:vAlign w:val="bottom"/>
          </w:tcPr>
          <w:p w:rsidR="00770355" w:rsidRPr="00770355" w:rsidRDefault="00770355" w:rsidP="007703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770355">
              <w:t>(40,744)</w:t>
            </w:r>
          </w:p>
        </w:tc>
      </w:tr>
      <w:tr w:rsidR="00770355" w:rsidRPr="00770355" w:rsidTr="009864A4">
        <w:trPr>
          <w:cantSplit/>
          <w:jc w:val="center"/>
        </w:trPr>
        <w:tc>
          <w:tcPr>
            <w:tcW w:w="1960" w:type="pct"/>
            <w:tcBorders>
              <w:top w:val="nil"/>
              <w:left w:val="nil"/>
              <w:bottom w:val="nil"/>
              <w:right w:val="nil"/>
            </w:tcBorders>
          </w:tcPr>
          <w:p w:rsidR="00770355" w:rsidRPr="00FC76BB" w:rsidRDefault="00770355" w:rsidP="0056395A">
            <w:pPr>
              <w:widowControl/>
              <w:suppressAutoHyphens/>
              <w:spacing w:after="20"/>
              <w:ind w:left="200" w:hanging="200"/>
            </w:pPr>
            <w:r w:rsidRPr="00FC76BB">
              <w:t xml:space="preserve">Repurchase of </w:t>
            </w:r>
            <w:r w:rsidR="00004977">
              <w:t xml:space="preserve">indirect parent </w:t>
            </w:r>
            <w:r w:rsidRPr="00FC76BB">
              <w:t>shares from employees</w:t>
            </w:r>
            <w:r w:rsidRPr="00FC76BB">
              <w:tab/>
            </w:r>
          </w:p>
        </w:tc>
        <w:tc>
          <w:tcPr>
            <w:tcW w:w="608" w:type="pct"/>
            <w:tcBorders>
              <w:top w:val="nil"/>
              <w:left w:val="nil"/>
              <w:bottom w:val="nil"/>
              <w:right w:val="nil"/>
            </w:tcBorders>
            <w:vAlign w:val="bottom"/>
          </w:tcPr>
          <w:p w:rsidR="00770355" w:rsidRPr="00627F0A" w:rsidRDefault="00770355"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627F0A">
              <w:t>—</w:t>
            </w:r>
          </w:p>
        </w:tc>
        <w:tc>
          <w:tcPr>
            <w:tcW w:w="608" w:type="pct"/>
            <w:tcBorders>
              <w:top w:val="nil"/>
              <w:left w:val="nil"/>
              <w:bottom w:val="nil"/>
              <w:right w:val="nil"/>
            </w:tcBorders>
            <w:vAlign w:val="bottom"/>
          </w:tcPr>
          <w:p w:rsidR="00770355" w:rsidRPr="00F91E53" w:rsidRDefault="00770355" w:rsidP="007703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1E53">
              <w:t>(585)</w:t>
            </w:r>
          </w:p>
        </w:tc>
        <w:tc>
          <w:tcPr>
            <w:tcW w:w="609" w:type="pct"/>
            <w:tcBorders>
              <w:top w:val="nil"/>
              <w:left w:val="nil"/>
              <w:bottom w:val="nil"/>
              <w:right w:val="nil"/>
            </w:tcBorders>
            <w:vAlign w:val="bottom"/>
          </w:tcPr>
          <w:p w:rsidR="00770355" w:rsidRPr="00F91E53" w:rsidRDefault="00770355"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1E53">
              <w:t>—</w:t>
            </w:r>
          </w:p>
        </w:tc>
        <w:tc>
          <w:tcPr>
            <w:tcW w:w="609" w:type="pct"/>
            <w:tcBorders>
              <w:top w:val="nil"/>
              <w:left w:val="nil"/>
              <w:bottom w:val="nil"/>
              <w:right w:val="nil"/>
            </w:tcBorders>
            <w:vAlign w:val="bottom"/>
          </w:tcPr>
          <w:p w:rsidR="00770355" w:rsidRPr="00E918A8" w:rsidRDefault="00770355"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E918A8">
              <w:t>—</w:t>
            </w:r>
          </w:p>
        </w:tc>
        <w:tc>
          <w:tcPr>
            <w:tcW w:w="607" w:type="pct"/>
            <w:tcBorders>
              <w:top w:val="nil"/>
              <w:left w:val="nil"/>
              <w:bottom w:val="nil"/>
              <w:right w:val="nil"/>
            </w:tcBorders>
            <w:vAlign w:val="bottom"/>
          </w:tcPr>
          <w:p w:rsidR="00770355" w:rsidRPr="00770355" w:rsidRDefault="00770355" w:rsidP="007703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770355">
              <w:t>(585)</w:t>
            </w:r>
          </w:p>
        </w:tc>
      </w:tr>
      <w:tr w:rsidR="00770355" w:rsidRPr="00770355" w:rsidTr="009864A4">
        <w:trPr>
          <w:cantSplit/>
          <w:jc w:val="center"/>
        </w:trPr>
        <w:tc>
          <w:tcPr>
            <w:tcW w:w="1960" w:type="pct"/>
            <w:tcBorders>
              <w:top w:val="nil"/>
              <w:left w:val="nil"/>
              <w:bottom w:val="nil"/>
              <w:right w:val="nil"/>
            </w:tcBorders>
          </w:tcPr>
          <w:p w:rsidR="00770355" w:rsidRPr="00FC76BB" w:rsidRDefault="00770355" w:rsidP="00770355">
            <w:pPr>
              <w:widowControl/>
              <w:suppressAutoHyphens/>
              <w:ind w:left="200" w:hanging="200"/>
            </w:pPr>
            <w:r w:rsidRPr="00FC76BB">
              <w:rPr>
                <w:b/>
                <w:bCs/>
              </w:rPr>
              <w:t xml:space="preserve">Net cash </w:t>
            </w:r>
            <w:r>
              <w:rPr>
                <w:b/>
                <w:bCs/>
              </w:rPr>
              <w:t>used in</w:t>
            </w:r>
            <w:r w:rsidRPr="00FC76BB">
              <w:rPr>
                <w:b/>
                <w:bCs/>
              </w:rPr>
              <w:t xml:space="preserve"> financing activities</w:t>
            </w:r>
            <w:r w:rsidRPr="00FC76BB">
              <w:tab/>
            </w:r>
          </w:p>
        </w:tc>
        <w:tc>
          <w:tcPr>
            <w:tcW w:w="608" w:type="pct"/>
            <w:tcBorders>
              <w:top w:val="nil"/>
              <w:left w:val="nil"/>
              <w:bottom w:val="nil"/>
              <w:right w:val="nil"/>
            </w:tcBorders>
            <w:vAlign w:val="bottom"/>
          </w:tcPr>
          <w:p w:rsidR="00770355" w:rsidRPr="00627F0A"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27F0A">
              <w:t>—</w:t>
            </w:r>
          </w:p>
        </w:tc>
        <w:tc>
          <w:tcPr>
            <w:tcW w:w="608" w:type="pct"/>
            <w:tcBorders>
              <w:top w:val="nil"/>
              <w:left w:val="nil"/>
              <w:bottom w:val="nil"/>
              <w:right w:val="nil"/>
            </w:tcBorders>
            <w:vAlign w:val="bottom"/>
          </w:tcPr>
          <w:p w:rsidR="00770355" w:rsidRPr="00F91E53" w:rsidRDefault="00770355" w:rsidP="00627F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(19,</w:t>
            </w:r>
            <w:r w:rsidR="00627F0A" w:rsidRPr="00F91E53">
              <w:t>329</w:t>
            </w:r>
            <w:r w:rsidRPr="00F91E53">
              <w:t>)</w:t>
            </w:r>
          </w:p>
        </w:tc>
        <w:tc>
          <w:tcPr>
            <w:tcW w:w="609" w:type="pct"/>
            <w:tcBorders>
              <w:top w:val="nil"/>
              <w:left w:val="nil"/>
              <w:bottom w:val="nil"/>
              <w:right w:val="nil"/>
            </w:tcBorders>
            <w:vAlign w:val="bottom"/>
          </w:tcPr>
          <w:p w:rsidR="00770355" w:rsidRPr="00F91E53"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w:t>
            </w:r>
          </w:p>
        </w:tc>
        <w:tc>
          <w:tcPr>
            <w:tcW w:w="609" w:type="pct"/>
            <w:tcBorders>
              <w:top w:val="nil"/>
              <w:left w:val="nil"/>
              <w:bottom w:val="nil"/>
              <w:right w:val="nil"/>
            </w:tcBorders>
            <w:vAlign w:val="bottom"/>
          </w:tcPr>
          <w:p w:rsidR="00770355" w:rsidRPr="00E918A8" w:rsidRDefault="00770355"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918A8">
              <w:t>—</w:t>
            </w:r>
          </w:p>
        </w:tc>
        <w:tc>
          <w:tcPr>
            <w:tcW w:w="607" w:type="pct"/>
            <w:tcBorders>
              <w:top w:val="nil"/>
              <w:left w:val="nil"/>
              <w:bottom w:val="nil"/>
              <w:right w:val="nil"/>
            </w:tcBorders>
            <w:vAlign w:val="bottom"/>
          </w:tcPr>
          <w:p w:rsidR="00770355" w:rsidRPr="00770355" w:rsidRDefault="00770355" w:rsidP="00E918A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770355">
              <w:t>(19,</w:t>
            </w:r>
            <w:r w:rsidR="00E918A8">
              <w:t>329</w:t>
            </w:r>
            <w:r w:rsidRPr="00770355">
              <w:t>)</w:t>
            </w:r>
          </w:p>
        </w:tc>
      </w:tr>
      <w:tr w:rsidR="00CA14BE" w:rsidRPr="0053635E" w:rsidTr="009864A4">
        <w:trPr>
          <w:cantSplit/>
          <w:jc w:val="center"/>
        </w:trPr>
        <w:tc>
          <w:tcPr>
            <w:tcW w:w="1960" w:type="pct"/>
            <w:tcBorders>
              <w:top w:val="nil"/>
              <w:left w:val="nil"/>
              <w:bottom w:val="nil"/>
              <w:right w:val="nil"/>
            </w:tcBorders>
          </w:tcPr>
          <w:p w:rsidR="00CA14BE" w:rsidRPr="00FC76BB" w:rsidRDefault="00CA14BE" w:rsidP="0056395A">
            <w:pPr>
              <w:widowControl/>
              <w:suppressAutoHyphens/>
              <w:spacing w:after="20"/>
              <w:ind w:left="200" w:hanging="200"/>
            </w:pPr>
            <w:r w:rsidRPr="00FC76BB">
              <w:t>Effect of changes in exchange rates on cash and cash equivalents</w:t>
            </w:r>
            <w:r w:rsidRPr="00FC76BB">
              <w:tab/>
            </w:r>
          </w:p>
        </w:tc>
        <w:tc>
          <w:tcPr>
            <w:tcW w:w="608" w:type="pct"/>
            <w:tcBorders>
              <w:top w:val="nil"/>
              <w:left w:val="nil"/>
              <w:bottom w:val="nil"/>
              <w:right w:val="nil"/>
            </w:tcBorders>
            <w:vAlign w:val="bottom"/>
          </w:tcPr>
          <w:p w:rsidR="00CA14BE" w:rsidRPr="00627F0A"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627F0A">
              <w:t>—</w:t>
            </w:r>
          </w:p>
        </w:tc>
        <w:tc>
          <w:tcPr>
            <w:tcW w:w="608" w:type="pct"/>
            <w:tcBorders>
              <w:top w:val="nil"/>
              <w:left w:val="nil"/>
              <w:bottom w:val="nil"/>
              <w:right w:val="nil"/>
            </w:tcBorders>
            <w:vAlign w:val="bottom"/>
          </w:tcPr>
          <w:p w:rsidR="00CA14BE" w:rsidRPr="00F91E53" w:rsidRDefault="005B7A21" w:rsidP="00627F0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1E53">
              <w:t>(</w:t>
            </w:r>
            <w:r w:rsidR="00627F0A" w:rsidRPr="00F91E53">
              <w:t>172</w:t>
            </w:r>
            <w:r w:rsidRPr="00F91E53">
              <w:t>)</w:t>
            </w:r>
          </w:p>
        </w:tc>
        <w:tc>
          <w:tcPr>
            <w:tcW w:w="609" w:type="pct"/>
            <w:tcBorders>
              <w:top w:val="nil"/>
              <w:left w:val="nil"/>
              <w:bottom w:val="nil"/>
              <w:right w:val="nil"/>
            </w:tcBorders>
            <w:vAlign w:val="bottom"/>
          </w:tcPr>
          <w:p w:rsidR="00CA14BE" w:rsidRPr="00F91E53" w:rsidRDefault="00F91E53" w:rsidP="00F91E53">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1E53">
              <w:t>1</w:t>
            </w:r>
          </w:p>
        </w:tc>
        <w:tc>
          <w:tcPr>
            <w:tcW w:w="609" w:type="pct"/>
            <w:tcBorders>
              <w:top w:val="nil"/>
              <w:left w:val="nil"/>
              <w:bottom w:val="nil"/>
              <w:right w:val="nil"/>
            </w:tcBorders>
            <w:vAlign w:val="bottom"/>
          </w:tcPr>
          <w:p w:rsidR="00CA14BE" w:rsidRPr="00E918A8"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E918A8">
              <w:t>—</w:t>
            </w:r>
          </w:p>
        </w:tc>
        <w:tc>
          <w:tcPr>
            <w:tcW w:w="607" w:type="pct"/>
            <w:tcBorders>
              <w:top w:val="nil"/>
              <w:left w:val="nil"/>
              <w:bottom w:val="nil"/>
              <w:right w:val="nil"/>
            </w:tcBorders>
            <w:vAlign w:val="bottom"/>
          </w:tcPr>
          <w:p w:rsidR="00CA14BE" w:rsidRPr="00296DEC" w:rsidRDefault="00B56306" w:rsidP="00E918A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296DEC">
              <w:t>(</w:t>
            </w:r>
            <w:r w:rsidR="00E918A8">
              <w:t>171</w:t>
            </w:r>
            <w:r w:rsidRPr="00296DEC">
              <w:t>)</w:t>
            </w:r>
          </w:p>
        </w:tc>
      </w:tr>
      <w:tr w:rsidR="00CA14BE" w:rsidRPr="0053635E" w:rsidTr="009864A4">
        <w:trPr>
          <w:cantSplit/>
          <w:jc w:val="center"/>
        </w:trPr>
        <w:tc>
          <w:tcPr>
            <w:tcW w:w="1960" w:type="pct"/>
            <w:tcBorders>
              <w:top w:val="nil"/>
              <w:left w:val="nil"/>
              <w:bottom w:val="nil"/>
              <w:right w:val="nil"/>
            </w:tcBorders>
          </w:tcPr>
          <w:p w:rsidR="00CA14BE" w:rsidRPr="00FC76BB" w:rsidRDefault="00CA14BE" w:rsidP="0056395A">
            <w:pPr>
              <w:widowControl/>
              <w:suppressAutoHyphens/>
              <w:ind w:left="200" w:hanging="200"/>
            </w:pPr>
            <w:r w:rsidRPr="00FC76BB">
              <w:t xml:space="preserve">Net </w:t>
            </w:r>
            <w:r w:rsidR="0036112A" w:rsidRPr="00FC76BB">
              <w:t>(</w:t>
            </w:r>
            <w:r w:rsidRPr="00FC76BB">
              <w:t>decrease</w:t>
            </w:r>
            <w:r w:rsidR="0036112A" w:rsidRPr="00FC76BB">
              <w:t>) increase</w:t>
            </w:r>
            <w:r w:rsidRPr="00FC76BB">
              <w:t xml:space="preserve"> in cash and cash equivalents</w:t>
            </w:r>
            <w:r w:rsidRPr="00FC76BB">
              <w:tab/>
            </w:r>
          </w:p>
        </w:tc>
        <w:tc>
          <w:tcPr>
            <w:tcW w:w="608" w:type="pct"/>
            <w:tcBorders>
              <w:top w:val="nil"/>
              <w:left w:val="nil"/>
              <w:bottom w:val="nil"/>
              <w:right w:val="nil"/>
            </w:tcBorders>
            <w:vAlign w:val="bottom"/>
          </w:tcPr>
          <w:p w:rsidR="00CA14BE" w:rsidRPr="00627F0A"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627F0A">
              <w:t>—</w:t>
            </w:r>
          </w:p>
        </w:tc>
        <w:tc>
          <w:tcPr>
            <w:tcW w:w="608" w:type="pct"/>
            <w:tcBorders>
              <w:top w:val="nil"/>
              <w:left w:val="nil"/>
              <w:bottom w:val="nil"/>
              <w:right w:val="nil"/>
            </w:tcBorders>
            <w:vAlign w:val="bottom"/>
          </w:tcPr>
          <w:p w:rsidR="00CA14BE" w:rsidRPr="00F91E53" w:rsidRDefault="00297627" w:rsidP="00627F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w:t>
            </w:r>
            <w:r w:rsidR="00627F0A" w:rsidRPr="00F91E53">
              <w:t>6</w:t>
            </w:r>
            <w:r w:rsidRPr="00F91E53">
              <w:t>,</w:t>
            </w:r>
            <w:r w:rsidR="00627F0A" w:rsidRPr="00F91E53">
              <w:t>506</w:t>
            </w:r>
            <w:r w:rsidR="00CA14BE" w:rsidRPr="00F91E53">
              <w:t>)</w:t>
            </w:r>
          </w:p>
        </w:tc>
        <w:tc>
          <w:tcPr>
            <w:tcW w:w="609" w:type="pct"/>
            <w:tcBorders>
              <w:top w:val="nil"/>
              <w:left w:val="nil"/>
              <w:bottom w:val="nil"/>
              <w:right w:val="nil"/>
            </w:tcBorders>
            <w:vAlign w:val="bottom"/>
          </w:tcPr>
          <w:p w:rsidR="00CA14BE" w:rsidRPr="00F91E53" w:rsidRDefault="00F91E53" w:rsidP="00F91E5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1E53">
              <w:t>778</w:t>
            </w:r>
          </w:p>
        </w:tc>
        <w:tc>
          <w:tcPr>
            <w:tcW w:w="609" w:type="pct"/>
            <w:tcBorders>
              <w:top w:val="nil"/>
              <w:left w:val="nil"/>
              <w:bottom w:val="nil"/>
              <w:right w:val="nil"/>
            </w:tcBorders>
            <w:vAlign w:val="bottom"/>
          </w:tcPr>
          <w:p w:rsidR="00CA14BE" w:rsidRPr="00E918A8"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918A8">
              <w:t>—</w:t>
            </w:r>
          </w:p>
        </w:tc>
        <w:tc>
          <w:tcPr>
            <w:tcW w:w="607" w:type="pct"/>
            <w:tcBorders>
              <w:top w:val="nil"/>
              <w:left w:val="nil"/>
              <w:bottom w:val="nil"/>
              <w:right w:val="nil"/>
            </w:tcBorders>
            <w:vAlign w:val="bottom"/>
          </w:tcPr>
          <w:p w:rsidR="00CA14BE" w:rsidRPr="00770355" w:rsidRDefault="00297627" w:rsidP="007703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770355">
              <w:t>(</w:t>
            </w:r>
            <w:r w:rsidR="00770355" w:rsidRPr="00770355">
              <w:t>5</w:t>
            </w:r>
            <w:r w:rsidRPr="00770355">
              <w:t>,</w:t>
            </w:r>
            <w:r w:rsidR="00770355" w:rsidRPr="00770355">
              <w:t>728</w:t>
            </w:r>
            <w:r w:rsidR="00CA14BE" w:rsidRPr="00770355">
              <w:t>)</w:t>
            </w:r>
          </w:p>
        </w:tc>
      </w:tr>
      <w:tr w:rsidR="00CA14BE" w:rsidRPr="007D4B3F" w:rsidTr="009864A4">
        <w:trPr>
          <w:cantSplit/>
          <w:jc w:val="center"/>
        </w:trPr>
        <w:tc>
          <w:tcPr>
            <w:tcW w:w="1960" w:type="pct"/>
            <w:tcBorders>
              <w:top w:val="nil"/>
              <w:left w:val="nil"/>
              <w:bottom w:val="nil"/>
              <w:right w:val="nil"/>
            </w:tcBorders>
          </w:tcPr>
          <w:p w:rsidR="00CA14BE" w:rsidRPr="00FC76BB" w:rsidRDefault="00CA14BE" w:rsidP="00A21934">
            <w:pPr>
              <w:widowControl/>
              <w:suppressAutoHyphens/>
              <w:spacing w:after="20"/>
              <w:ind w:left="200" w:hanging="200"/>
            </w:pPr>
            <w:r w:rsidRPr="00FC76BB">
              <w:t>Cash and cash equivalents, beginning of period</w:t>
            </w:r>
          </w:p>
        </w:tc>
        <w:tc>
          <w:tcPr>
            <w:tcW w:w="608" w:type="pct"/>
            <w:tcBorders>
              <w:top w:val="nil"/>
              <w:left w:val="nil"/>
              <w:bottom w:val="nil"/>
              <w:right w:val="nil"/>
            </w:tcBorders>
            <w:vAlign w:val="bottom"/>
          </w:tcPr>
          <w:p w:rsidR="00CA14BE" w:rsidRPr="00627F0A"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627F0A">
              <w:t>—</w:t>
            </w:r>
          </w:p>
        </w:tc>
        <w:tc>
          <w:tcPr>
            <w:tcW w:w="608" w:type="pct"/>
            <w:tcBorders>
              <w:top w:val="nil"/>
              <w:left w:val="nil"/>
              <w:bottom w:val="nil"/>
              <w:right w:val="nil"/>
            </w:tcBorders>
            <w:vAlign w:val="bottom"/>
          </w:tcPr>
          <w:p w:rsidR="00CA14BE" w:rsidRPr="00F91E53" w:rsidRDefault="007D4B3F" w:rsidP="007D4B3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1E53">
              <w:t>11</w:t>
            </w:r>
            <w:r w:rsidR="00297627" w:rsidRPr="00F91E53">
              <w:t>,</w:t>
            </w:r>
            <w:r w:rsidRPr="00F91E53">
              <w:t>308</w:t>
            </w:r>
          </w:p>
        </w:tc>
        <w:tc>
          <w:tcPr>
            <w:tcW w:w="609" w:type="pct"/>
            <w:tcBorders>
              <w:top w:val="nil"/>
              <w:left w:val="nil"/>
              <w:bottom w:val="nil"/>
              <w:right w:val="nil"/>
            </w:tcBorders>
            <w:vAlign w:val="bottom"/>
          </w:tcPr>
          <w:p w:rsidR="00CA14BE" w:rsidRPr="00F91E53" w:rsidRDefault="007D4B3F" w:rsidP="007D4B3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1E53">
              <w:t>535</w:t>
            </w:r>
          </w:p>
        </w:tc>
        <w:tc>
          <w:tcPr>
            <w:tcW w:w="609" w:type="pct"/>
            <w:tcBorders>
              <w:top w:val="nil"/>
              <w:left w:val="nil"/>
              <w:bottom w:val="nil"/>
              <w:right w:val="nil"/>
            </w:tcBorders>
            <w:vAlign w:val="bottom"/>
          </w:tcPr>
          <w:p w:rsidR="00CA14BE" w:rsidRPr="00E918A8"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E918A8">
              <w:t>—</w:t>
            </w:r>
          </w:p>
        </w:tc>
        <w:tc>
          <w:tcPr>
            <w:tcW w:w="607" w:type="pct"/>
            <w:tcBorders>
              <w:top w:val="nil"/>
              <w:left w:val="nil"/>
              <w:bottom w:val="nil"/>
              <w:right w:val="nil"/>
            </w:tcBorders>
            <w:vAlign w:val="bottom"/>
          </w:tcPr>
          <w:p w:rsidR="00CA14BE" w:rsidRPr="007D4B3F" w:rsidRDefault="00770355" w:rsidP="007703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7D4B3F">
              <w:t>11</w:t>
            </w:r>
            <w:r w:rsidR="00297627" w:rsidRPr="007D4B3F">
              <w:t>,</w:t>
            </w:r>
            <w:r w:rsidRPr="007D4B3F">
              <w:t>843</w:t>
            </w:r>
          </w:p>
        </w:tc>
      </w:tr>
      <w:tr w:rsidR="00CA14BE" w:rsidRPr="0053635E" w:rsidTr="009864A4">
        <w:trPr>
          <w:cantSplit/>
          <w:jc w:val="center"/>
        </w:trPr>
        <w:tc>
          <w:tcPr>
            <w:tcW w:w="1960" w:type="pct"/>
            <w:tcBorders>
              <w:top w:val="nil"/>
              <w:left w:val="nil"/>
              <w:bottom w:val="nil"/>
              <w:right w:val="nil"/>
            </w:tcBorders>
          </w:tcPr>
          <w:p w:rsidR="00CA14BE" w:rsidRPr="00FC76BB" w:rsidRDefault="00CA14BE" w:rsidP="00A21934">
            <w:pPr>
              <w:widowControl/>
              <w:suppressAutoHyphens/>
              <w:spacing w:after="40"/>
              <w:ind w:left="200" w:hanging="200"/>
            </w:pPr>
            <w:r w:rsidRPr="00FC76BB">
              <w:rPr>
                <w:b/>
                <w:bCs/>
              </w:rPr>
              <w:t>Cash and cash equivalents, end of period</w:t>
            </w:r>
            <w:r w:rsidRPr="00FC76BB">
              <w:tab/>
            </w:r>
          </w:p>
        </w:tc>
        <w:tc>
          <w:tcPr>
            <w:tcW w:w="608" w:type="pct"/>
            <w:tcBorders>
              <w:top w:val="nil"/>
              <w:left w:val="nil"/>
              <w:bottom w:val="nil"/>
              <w:right w:val="nil"/>
            </w:tcBorders>
            <w:vAlign w:val="bottom"/>
          </w:tcPr>
          <w:p w:rsidR="00CA14BE" w:rsidRPr="00627F0A" w:rsidRDefault="00CA14BE" w:rsidP="00C65CA5">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627F0A">
              <w:t>$</w:t>
            </w:r>
            <w:r w:rsidR="00A21934" w:rsidRPr="00627F0A">
              <w:t xml:space="preserve">   </w:t>
            </w:r>
            <w:r w:rsidR="00C65CA5" w:rsidRPr="00627F0A">
              <w:t xml:space="preserve"> </w:t>
            </w:r>
            <w:r w:rsidR="00A21934" w:rsidRPr="00627F0A">
              <w:t xml:space="preserve">           </w:t>
            </w:r>
            <w:r w:rsidR="00744A72" w:rsidRPr="00627F0A">
              <w:t>—</w:t>
            </w:r>
          </w:p>
        </w:tc>
        <w:tc>
          <w:tcPr>
            <w:tcW w:w="608" w:type="pct"/>
            <w:tcBorders>
              <w:top w:val="nil"/>
              <w:left w:val="nil"/>
              <w:bottom w:val="nil"/>
              <w:right w:val="nil"/>
            </w:tcBorders>
            <w:vAlign w:val="bottom"/>
          </w:tcPr>
          <w:p w:rsidR="00CA14BE" w:rsidRPr="00F91E53" w:rsidRDefault="00297627" w:rsidP="0091080C">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F91E53">
              <w:t>$</w:t>
            </w:r>
            <w:r w:rsidR="00C65CA5" w:rsidRPr="00F91E53">
              <w:t xml:space="preserve">  </w:t>
            </w:r>
            <w:r w:rsidR="00A21934" w:rsidRPr="00F91E53">
              <w:t xml:space="preserve">   </w:t>
            </w:r>
            <w:r w:rsidR="0091080C">
              <w:t xml:space="preserve"> </w:t>
            </w:r>
            <w:r w:rsidR="00A21934" w:rsidRPr="00F91E53">
              <w:t xml:space="preserve">    </w:t>
            </w:r>
            <w:r w:rsidR="00F91E53" w:rsidRPr="00F91E53">
              <w:t>4</w:t>
            </w:r>
            <w:r w:rsidRPr="00F91E53">
              <w:t>,</w:t>
            </w:r>
            <w:r w:rsidR="00F91E53" w:rsidRPr="00F91E53">
              <w:t>802</w:t>
            </w:r>
          </w:p>
        </w:tc>
        <w:tc>
          <w:tcPr>
            <w:tcW w:w="609" w:type="pct"/>
            <w:tcBorders>
              <w:top w:val="nil"/>
              <w:left w:val="nil"/>
              <w:bottom w:val="nil"/>
              <w:right w:val="nil"/>
            </w:tcBorders>
            <w:vAlign w:val="bottom"/>
          </w:tcPr>
          <w:p w:rsidR="00CA14BE" w:rsidRPr="00F91E53" w:rsidRDefault="00297627" w:rsidP="00F91E53">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F91E53">
              <w:t>$</w:t>
            </w:r>
            <w:r w:rsidR="00A21934" w:rsidRPr="00F91E53">
              <w:t xml:space="preserve">           </w:t>
            </w:r>
            <w:r w:rsidR="00F91E53" w:rsidRPr="00F91E53">
              <w:t>1,313</w:t>
            </w:r>
          </w:p>
        </w:tc>
        <w:tc>
          <w:tcPr>
            <w:tcW w:w="609" w:type="pct"/>
            <w:tcBorders>
              <w:top w:val="nil"/>
              <w:left w:val="nil"/>
              <w:bottom w:val="nil"/>
              <w:right w:val="nil"/>
            </w:tcBorders>
            <w:vAlign w:val="bottom"/>
          </w:tcPr>
          <w:p w:rsidR="00CA14BE" w:rsidRPr="00E918A8" w:rsidRDefault="00CA14BE" w:rsidP="00744A72">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E918A8">
              <w:t>$</w:t>
            </w:r>
            <w:r w:rsidR="00A21934" w:rsidRPr="00E918A8">
              <w:t xml:space="preserve">                </w:t>
            </w:r>
            <w:r w:rsidR="00744A72" w:rsidRPr="00E918A8">
              <w:t>—</w:t>
            </w:r>
          </w:p>
        </w:tc>
        <w:tc>
          <w:tcPr>
            <w:tcW w:w="607" w:type="pct"/>
            <w:tcBorders>
              <w:top w:val="nil"/>
              <w:left w:val="nil"/>
              <w:bottom w:val="nil"/>
              <w:right w:val="nil"/>
            </w:tcBorders>
            <w:vAlign w:val="bottom"/>
          </w:tcPr>
          <w:p w:rsidR="00CA14BE" w:rsidRPr="00770355" w:rsidRDefault="00297627" w:rsidP="00770355">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770355">
              <w:t>$</w:t>
            </w:r>
            <w:r w:rsidR="00A21934" w:rsidRPr="00770355">
              <w:t xml:space="preserve">  </w:t>
            </w:r>
            <w:r w:rsidR="00C65CA5" w:rsidRPr="00770355">
              <w:t xml:space="preserve">  </w:t>
            </w:r>
            <w:r w:rsidR="00A21934" w:rsidRPr="00770355">
              <w:t xml:space="preserve">      </w:t>
            </w:r>
            <w:r w:rsidR="00770355" w:rsidRPr="00770355">
              <w:t>6</w:t>
            </w:r>
            <w:r w:rsidR="00736158" w:rsidRPr="00770355">
              <w:t>,</w:t>
            </w:r>
            <w:r w:rsidR="00770355" w:rsidRPr="00770355">
              <w:t>115</w:t>
            </w:r>
          </w:p>
        </w:tc>
      </w:tr>
    </w:tbl>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rPr>
          <w:highlight w:val="yellow"/>
        </w:rPr>
      </w:pPr>
    </w:p>
    <w:p w:rsidR="00540AC8" w:rsidRPr="00B71C04" w:rsidRDefault="00744A72" w:rsidP="00540AC8">
      <w:pPr>
        <w:widowControl/>
        <w:tabs>
          <w:tab w:val="left" w:pos="-720"/>
        </w:tabs>
        <w:suppressAutoHyphens/>
        <w:spacing w:after="240"/>
        <w:jc w:val="both"/>
        <w:rPr>
          <w:b/>
          <w:bCs/>
          <w:sz w:val="22"/>
        </w:rPr>
      </w:pPr>
      <w:r w:rsidRPr="0053635E">
        <w:rPr>
          <w:highlight w:val="yellow"/>
        </w:rPr>
        <w:br w:type="page"/>
      </w:r>
      <w:r w:rsidR="00540AC8" w:rsidRPr="00B71C04">
        <w:rPr>
          <w:b/>
          <w:bCs/>
          <w:sz w:val="22"/>
        </w:rPr>
        <w:lastRenderedPageBreak/>
        <w:t>1</w:t>
      </w:r>
      <w:r w:rsidR="00967665" w:rsidRPr="00B71C04">
        <w:rPr>
          <w:b/>
          <w:bCs/>
          <w:sz w:val="22"/>
        </w:rPr>
        <w:t>4</w:t>
      </w:r>
      <w:r w:rsidR="00540AC8" w:rsidRPr="00B71C04">
        <w:rPr>
          <w:b/>
          <w:bCs/>
          <w:sz w:val="22"/>
        </w:rPr>
        <w:t>. Guarantor Financial Information (continued)</w:t>
      </w:r>
    </w:p>
    <w:p w:rsidR="00540AC8" w:rsidRPr="00E22A8A" w:rsidRDefault="00540AC8" w:rsidP="00540AC8">
      <w:pPr>
        <w:keepNext/>
        <w:keepLines/>
        <w:widowControl/>
        <w:tabs>
          <w:tab w:val="left" w:pos="720"/>
          <w:tab w:val="left" w:pos="1440"/>
          <w:tab w:val="center" w:pos="5400"/>
        </w:tabs>
        <w:suppressAutoHyphens/>
        <w:rPr>
          <w:b/>
          <w:bCs/>
        </w:rPr>
      </w:pPr>
    </w:p>
    <w:p w:rsidR="00540AC8" w:rsidRPr="00E22A8A" w:rsidRDefault="00540AC8" w:rsidP="00540AC8">
      <w:pPr>
        <w:keepNext/>
        <w:keepLines/>
        <w:widowControl/>
        <w:tabs>
          <w:tab w:val="left" w:pos="720"/>
          <w:tab w:val="left" w:pos="1440"/>
          <w:tab w:val="center" w:pos="5400"/>
        </w:tabs>
        <w:suppressAutoHyphens/>
        <w:jc w:val="center"/>
        <w:rPr>
          <w:b/>
          <w:bCs/>
        </w:rPr>
      </w:pPr>
      <w:r w:rsidRPr="00E22A8A">
        <w:rPr>
          <w:b/>
          <w:bCs/>
        </w:rPr>
        <w:t>TRAC Intermodal LLC</w:t>
      </w:r>
    </w:p>
    <w:p w:rsidR="00540AC8" w:rsidRPr="00E22A8A" w:rsidRDefault="00540AC8" w:rsidP="00540AC8">
      <w:pPr>
        <w:widowControl/>
        <w:tabs>
          <w:tab w:val="center" w:pos="5400"/>
        </w:tabs>
        <w:suppressAutoHyphens/>
        <w:jc w:val="center"/>
        <w:rPr>
          <w:b/>
          <w:bCs/>
        </w:rPr>
      </w:pPr>
      <w:r w:rsidRPr="00E22A8A">
        <w:rPr>
          <w:b/>
          <w:bCs/>
        </w:rPr>
        <w:t>Condensed Consolidating Balance Sheet</w:t>
      </w:r>
    </w:p>
    <w:p w:rsidR="00540AC8" w:rsidRPr="00E22A8A" w:rsidRDefault="00540AC8" w:rsidP="00540AC8">
      <w:pPr>
        <w:widowControl/>
        <w:tabs>
          <w:tab w:val="center" w:pos="5400"/>
        </w:tabs>
        <w:suppressAutoHyphens/>
        <w:spacing w:after="240"/>
        <w:jc w:val="center"/>
        <w:rPr>
          <w:b/>
          <w:bCs/>
        </w:rPr>
      </w:pPr>
      <w:r w:rsidRPr="00E22A8A">
        <w:rPr>
          <w:b/>
          <w:bCs/>
        </w:rPr>
        <w:t>December 31, 201</w:t>
      </w:r>
      <w:r w:rsidR="00E22A8A">
        <w:rPr>
          <w:b/>
          <w:bCs/>
        </w:rPr>
        <w:t>3</w:t>
      </w:r>
    </w:p>
    <w:p w:rsidR="00540AC8" w:rsidRPr="00E22A8A" w:rsidRDefault="00540AC8" w:rsidP="00540AC8">
      <w:pPr>
        <w:keepNext/>
        <w:keepLines/>
        <w:widowControl/>
        <w:tabs>
          <w:tab w:val="left" w:pos="720"/>
          <w:tab w:val="left" w:pos="1440"/>
          <w:tab w:val="center" w:pos="5400"/>
        </w:tabs>
        <w:suppressAutoHyphens/>
        <w:rPr>
          <w:b/>
          <w:bCs/>
        </w:rPr>
      </w:pPr>
    </w:p>
    <w:tbl>
      <w:tblPr>
        <w:tblW w:w="5000" w:type="pct"/>
        <w:jc w:val="center"/>
        <w:tblCellMar>
          <w:left w:w="72" w:type="dxa"/>
          <w:right w:w="72" w:type="dxa"/>
        </w:tblCellMar>
        <w:tblLook w:val="0000" w:firstRow="0" w:lastRow="0" w:firstColumn="0" w:lastColumn="0" w:noHBand="0" w:noVBand="0"/>
      </w:tblPr>
      <w:tblGrid>
        <w:gridCol w:w="4111"/>
        <w:gridCol w:w="1223"/>
        <w:gridCol w:w="1223"/>
        <w:gridCol w:w="1223"/>
        <w:gridCol w:w="1223"/>
        <w:gridCol w:w="1221"/>
      </w:tblGrid>
      <w:tr w:rsidR="00540AC8" w:rsidRPr="0053635E" w:rsidTr="00540AC8">
        <w:trPr>
          <w:cantSplit/>
          <w:jc w:val="center"/>
        </w:trPr>
        <w:tc>
          <w:tcPr>
            <w:tcW w:w="2010"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p>
        </w:tc>
        <w:tc>
          <w:tcPr>
            <w:tcW w:w="598" w:type="pct"/>
            <w:tcBorders>
              <w:top w:val="nil"/>
              <w:left w:val="nil"/>
              <w:bottom w:val="nil"/>
              <w:right w:val="nil"/>
            </w:tcBorders>
            <w:vAlign w:val="bottom"/>
          </w:tcPr>
          <w:p w:rsidR="00540AC8" w:rsidRPr="00E22A8A" w:rsidRDefault="00E25893" w:rsidP="00540AC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22A8A">
              <w:rPr>
                <w:b/>
                <w:bCs/>
                <w:sz w:val="16"/>
                <w:szCs w:val="18"/>
              </w:rPr>
              <w:t>Company</w:t>
            </w:r>
            <w:r w:rsidR="00540AC8" w:rsidRPr="00E22A8A">
              <w:rPr>
                <w:b/>
                <w:bCs/>
                <w:sz w:val="16"/>
                <w:szCs w:val="18"/>
              </w:rPr>
              <w:br/>
              <w:t>Parent</w:t>
            </w:r>
          </w:p>
        </w:tc>
        <w:tc>
          <w:tcPr>
            <w:tcW w:w="598" w:type="pct"/>
            <w:tcBorders>
              <w:top w:val="nil"/>
              <w:left w:val="nil"/>
              <w:bottom w:val="nil"/>
              <w:right w:val="nil"/>
            </w:tcBorders>
            <w:vAlign w:val="bottom"/>
          </w:tcPr>
          <w:p w:rsidR="00540AC8" w:rsidRPr="00E22A8A" w:rsidRDefault="00540AC8" w:rsidP="00540AC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22A8A">
              <w:rPr>
                <w:b/>
                <w:bCs/>
                <w:sz w:val="16"/>
                <w:szCs w:val="18"/>
              </w:rPr>
              <w:t>Guarantor</w:t>
            </w:r>
            <w:r w:rsidRPr="00E22A8A">
              <w:rPr>
                <w:b/>
                <w:bCs/>
                <w:sz w:val="16"/>
                <w:szCs w:val="18"/>
              </w:rPr>
              <w:br/>
              <w:t>Subsidiaries</w:t>
            </w:r>
          </w:p>
        </w:tc>
        <w:tc>
          <w:tcPr>
            <w:tcW w:w="598" w:type="pct"/>
            <w:tcBorders>
              <w:top w:val="nil"/>
              <w:left w:val="nil"/>
              <w:bottom w:val="nil"/>
              <w:right w:val="nil"/>
            </w:tcBorders>
            <w:vAlign w:val="bottom"/>
          </w:tcPr>
          <w:p w:rsidR="00540AC8" w:rsidRPr="00E22A8A" w:rsidRDefault="00540AC8" w:rsidP="00540AC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22A8A">
              <w:rPr>
                <w:b/>
                <w:bCs/>
                <w:sz w:val="16"/>
                <w:szCs w:val="18"/>
              </w:rPr>
              <w:t>Non-Guarantor</w:t>
            </w:r>
            <w:r w:rsidRPr="00E22A8A">
              <w:rPr>
                <w:b/>
                <w:bCs/>
                <w:sz w:val="16"/>
                <w:szCs w:val="18"/>
              </w:rPr>
              <w:br/>
              <w:t>Subsidiaries</w:t>
            </w:r>
          </w:p>
        </w:tc>
        <w:tc>
          <w:tcPr>
            <w:tcW w:w="598" w:type="pct"/>
            <w:tcBorders>
              <w:top w:val="nil"/>
              <w:left w:val="nil"/>
              <w:bottom w:val="nil"/>
              <w:right w:val="nil"/>
            </w:tcBorders>
            <w:vAlign w:val="bottom"/>
          </w:tcPr>
          <w:p w:rsidR="00540AC8" w:rsidRPr="00E22A8A" w:rsidRDefault="00540AC8" w:rsidP="00540AC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22A8A">
              <w:rPr>
                <w:b/>
                <w:bCs/>
                <w:sz w:val="16"/>
                <w:szCs w:val="18"/>
              </w:rPr>
              <w:t>Eliminations</w:t>
            </w:r>
          </w:p>
        </w:tc>
        <w:tc>
          <w:tcPr>
            <w:tcW w:w="597" w:type="pct"/>
            <w:tcBorders>
              <w:top w:val="nil"/>
              <w:left w:val="nil"/>
              <w:bottom w:val="nil"/>
              <w:right w:val="nil"/>
            </w:tcBorders>
            <w:vAlign w:val="bottom"/>
          </w:tcPr>
          <w:p w:rsidR="00540AC8" w:rsidRPr="00E22A8A" w:rsidRDefault="00540AC8" w:rsidP="00540AC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22A8A">
              <w:rPr>
                <w:b/>
                <w:bCs/>
                <w:sz w:val="16"/>
                <w:szCs w:val="18"/>
              </w:rPr>
              <w:t>Consolidated</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D35A8E">
              <w:rPr>
                <w:b/>
                <w:bCs/>
              </w:rPr>
              <w:t>Assets</w:t>
            </w:r>
          </w:p>
        </w:tc>
        <w:tc>
          <w:tcPr>
            <w:tcW w:w="598" w:type="pct"/>
            <w:tcBorders>
              <w:top w:val="nil"/>
              <w:left w:val="nil"/>
              <w:bottom w:val="nil"/>
              <w:right w:val="nil"/>
            </w:tcBorders>
            <w:vAlign w:val="bottom"/>
          </w:tcPr>
          <w:p w:rsidR="00540AC8" w:rsidRPr="0053635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98" w:type="pct"/>
            <w:tcBorders>
              <w:top w:val="nil"/>
              <w:left w:val="nil"/>
              <w:bottom w:val="nil"/>
              <w:right w:val="nil"/>
            </w:tcBorders>
            <w:vAlign w:val="bottom"/>
          </w:tcPr>
          <w:p w:rsidR="00540AC8" w:rsidRPr="0053635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98" w:type="pct"/>
            <w:tcBorders>
              <w:top w:val="nil"/>
              <w:left w:val="nil"/>
              <w:bottom w:val="nil"/>
              <w:right w:val="nil"/>
            </w:tcBorders>
            <w:vAlign w:val="bottom"/>
          </w:tcPr>
          <w:p w:rsidR="00540AC8" w:rsidRPr="0053635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98" w:type="pct"/>
            <w:tcBorders>
              <w:top w:val="nil"/>
              <w:left w:val="nil"/>
              <w:bottom w:val="nil"/>
              <w:right w:val="nil"/>
            </w:tcBorders>
            <w:vAlign w:val="bottom"/>
          </w:tcPr>
          <w:p w:rsidR="00540AC8" w:rsidRPr="0053635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97" w:type="pct"/>
            <w:tcBorders>
              <w:top w:val="nil"/>
              <w:left w:val="nil"/>
              <w:bottom w:val="nil"/>
              <w:right w:val="nil"/>
            </w:tcBorders>
            <w:vAlign w:val="bottom"/>
          </w:tcPr>
          <w:p w:rsidR="00540AC8" w:rsidRPr="0053635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Cash and cash equivalents</w:t>
            </w:r>
            <w:r w:rsidRPr="00D35A8E">
              <w:tab/>
            </w:r>
          </w:p>
        </w:tc>
        <w:tc>
          <w:tcPr>
            <w:tcW w:w="598" w:type="pct"/>
            <w:tcBorders>
              <w:top w:val="nil"/>
              <w:left w:val="nil"/>
              <w:bottom w:val="nil"/>
              <w:right w:val="nil"/>
            </w:tcBorders>
            <w:vAlign w:val="bottom"/>
          </w:tcPr>
          <w:p w:rsidR="00540AC8" w:rsidRPr="00E22A8A" w:rsidRDefault="00540AC8" w:rsidP="0043444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r w:rsidR="00A70203" w:rsidRPr="00E22A8A">
              <w:t xml:space="preserve"> </w:t>
            </w:r>
            <w:r w:rsidR="00434444">
              <w:t xml:space="preserve"> </w:t>
            </w:r>
            <w:r w:rsidR="00A70203" w:rsidRPr="00E22A8A">
              <w:t xml:space="preserve">             </w:t>
            </w:r>
            <w:r w:rsidRPr="00E22A8A">
              <w:t>—</w:t>
            </w:r>
          </w:p>
        </w:tc>
        <w:tc>
          <w:tcPr>
            <w:tcW w:w="598" w:type="pct"/>
            <w:tcBorders>
              <w:top w:val="nil"/>
              <w:left w:val="nil"/>
              <w:bottom w:val="nil"/>
              <w:right w:val="nil"/>
            </w:tcBorders>
            <w:vAlign w:val="bottom"/>
          </w:tcPr>
          <w:p w:rsidR="00540AC8" w:rsidRPr="00E22A8A" w:rsidRDefault="00540AC8"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r w:rsidR="00A70203" w:rsidRPr="00E22A8A">
              <w:t xml:space="preserve">        </w:t>
            </w:r>
            <w:r w:rsidR="00E22A8A" w:rsidRPr="00E22A8A">
              <w:t>11</w:t>
            </w:r>
            <w:r w:rsidRPr="00E22A8A">
              <w:t>,</w:t>
            </w:r>
            <w:r w:rsidR="00E22A8A" w:rsidRPr="00E22A8A">
              <w:t>308</w:t>
            </w:r>
          </w:p>
        </w:tc>
        <w:tc>
          <w:tcPr>
            <w:tcW w:w="598" w:type="pct"/>
            <w:tcBorders>
              <w:top w:val="nil"/>
              <w:left w:val="nil"/>
              <w:bottom w:val="nil"/>
              <w:right w:val="nil"/>
            </w:tcBorders>
            <w:vAlign w:val="bottom"/>
          </w:tcPr>
          <w:p w:rsidR="00540AC8" w:rsidRPr="00BA190A" w:rsidRDefault="00540AC8" w:rsidP="00BA19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r w:rsidR="00A70203" w:rsidRPr="00BA190A">
              <w:t xml:space="preserve">             </w:t>
            </w:r>
            <w:r w:rsidR="00BA190A" w:rsidRPr="00BA190A">
              <w:t>535</w:t>
            </w:r>
          </w:p>
        </w:tc>
        <w:tc>
          <w:tcPr>
            <w:tcW w:w="598"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r w:rsidR="00A70203" w:rsidRPr="00D35A8E">
              <w:t xml:space="preserve">               </w:t>
            </w:r>
            <w:r w:rsidRPr="00D35A8E">
              <w:t>—</w:t>
            </w:r>
          </w:p>
        </w:tc>
        <w:tc>
          <w:tcPr>
            <w:tcW w:w="597" w:type="pct"/>
            <w:tcBorders>
              <w:top w:val="nil"/>
              <w:left w:val="nil"/>
              <w:bottom w:val="nil"/>
              <w:right w:val="nil"/>
            </w:tcBorders>
            <w:vAlign w:val="bottom"/>
          </w:tcPr>
          <w:p w:rsidR="00540AC8" w:rsidRPr="00D35A8E" w:rsidRDefault="00540AC8" w:rsidP="00CA3F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r w:rsidR="00A70203" w:rsidRPr="00D35A8E">
              <w:t xml:space="preserve">        </w:t>
            </w:r>
            <w:r w:rsidR="00CA3FC0">
              <w:t>11</w:t>
            </w:r>
            <w:r w:rsidRPr="00D35A8E">
              <w:t>,</w:t>
            </w:r>
            <w:r w:rsidR="00CA3FC0">
              <w:t>843</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Accounts receivable, net</w:t>
            </w:r>
            <w:r w:rsidRPr="00D35A8E">
              <w:tab/>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E22A8A" w:rsidRDefault="00E22A8A"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112</w:t>
            </w:r>
            <w:r w:rsidR="00540AC8" w:rsidRPr="00E22A8A">
              <w:t>,</w:t>
            </w:r>
            <w:r w:rsidRPr="00E22A8A">
              <w:t>550</w:t>
            </w:r>
          </w:p>
        </w:tc>
        <w:tc>
          <w:tcPr>
            <w:tcW w:w="598" w:type="pct"/>
            <w:tcBorders>
              <w:top w:val="nil"/>
              <w:left w:val="nil"/>
              <w:bottom w:val="nil"/>
              <w:right w:val="nil"/>
            </w:tcBorders>
            <w:vAlign w:val="bottom"/>
          </w:tcPr>
          <w:p w:rsidR="00540AC8" w:rsidRPr="00BA190A" w:rsidRDefault="00540AC8" w:rsidP="00BA19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5</w:t>
            </w:r>
            <w:r w:rsidR="00BA190A" w:rsidRPr="00BA190A">
              <w:t>88</w:t>
            </w:r>
          </w:p>
        </w:tc>
        <w:tc>
          <w:tcPr>
            <w:tcW w:w="598"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p>
        </w:tc>
        <w:tc>
          <w:tcPr>
            <w:tcW w:w="597" w:type="pct"/>
            <w:tcBorders>
              <w:top w:val="nil"/>
              <w:left w:val="nil"/>
              <w:bottom w:val="nil"/>
              <w:right w:val="nil"/>
            </w:tcBorders>
            <w:vAlign w:val="bottom"/>
          </w:tcPr>
          <w:p w:rsidR="00540AC8" w:rsidRPr="00D35A8E" w:rsidRDefault="00CA3FC0" w:rsidP="00CA3F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t>113</w:t>
            </w:r>
            <w:r w:rsidR="00540AC8" w:rsidRPr="00D35A8E">
              <w:t>,</w:t>
            </w:r>
            <w:r>
              <w:t>138</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Net investment in direct finance leases</w:t>
            </w:r>
            <w:r w:rsidRPr="00D35A8E">
              <w:tab/>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E22A8A" w:rsidRDefault="00E22A8A"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35</w:t>
            </w:r>
            <w:r w:rsidR="00540AC8" w:rsidRPr="00E22A8A">
              <w:t>,</w:t>
            </w:r>
            <w:r w:rsidRPr="00E22A8A">
              <w:t>237</w:t>
            </w:r>
          </w:p>
        </w:tc>
        <w:tc>
          <w:tcPr>
            <w:tcW w:w="598" w:type="pct"/>
            <w:tcBorders>
              <w:top w:val="nil"/>
              <w:left w:val="nil"/>
              <w:bottom w:val="nil"/>
              <w:right w:val="nil"/>
            </w:tcBorders>
            <w:vAlign w:val="bottom"/>
          </w:tcPr>
          <w:p w:rsidR="00540AC8" w:rsidRPr="00BA190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p>
        </w:tc>
        <w:tc>
          <w:tcPr>
            <w:tcW w:w="598" w:type="pct"/>
            <w:tcBorders>
              <w:top w:val="nil"/>
              <w:left w:val="nil"/>
              <w:bottom w:val="nil"/>
              <w:right w:val="nil"/>
            </w:tcBorders>
            <w:vAlign w:val="bottom"/>
          </w:tcPr>
          <w:p w:rsidR="00540AC8" w:rsidRPr="00D35A8E" w:rsidRDefault="00540AC8" w:rsidP="00D35A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(1</w:t>
            </w:r>
            <w:r w:rsidR="00D35A8E" w:rsidRPr="00D35A8E">
              <w:t>0</w:t>
            </w:r>
            <w:r w:rsidRPr="00D35A8E">
              <w:t>,</w:t>
            </w:r>
            <w:r w:rsidR="00D35A8E" w:rsidRPr="00D35A8E">
              <w:t>211</w:t>
            </w:r>
            <w:r w:rsidRPr="00D35A8E">
              <w:t>)</w:t>
            </w:r>
          </w:p>
        </w:tc>
        <w:tc>
          <w:tcPr>
            <w:tcW w:w="597" w:type="pct"/>
            <w:tcBorders>
              <w:top w:val="nil"/>
              <w:left w:val="nil"/>
              <w:bottom w:val="nil"/>
              <w:right w:val="nil"/>
            </w:tcBorders>
            <w:vAlign w:val="bottom"/>
          </w:tcPr>
          <w:p w:rsidR="00540AC8" w:rsidRPr="00D35A8E" w:rsidRDefault="00CA3FC0" w:rsidP="00CA3F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t>25</w:t>
            </w:r>
            <w:r w:rsidR="00540AC8" w:rsidRPr="00D35A8E">
              <w:t>,</w:t>
            </w:r>
            <w:r>
              <w:t>026</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Leasing equipment, net of accumulated depreciation</w:t>
            </w:r>
            <w:r w:rsidRPr="00D35A8E">
              <w:tab/>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E22A8A" w:rsidRDefault="00540AC8"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1,3</w:t>
            </w:r>
            <w:r w:rsidR="00E22A8A" w:rsidRPr="00E22A8A">
              <w:t>80</w:t>
            </w:r>
            <w:r w:rsidRPr="00E22A8A">
              <w:t>,</w:t>
            </w:r>
            <w:r w:rsidR="00E22A8A" w:rsidRPr="00E22A8A">
              <w:t>685</w:t>
            </w:r>
          </w:p>
        </w:tc>
        <w:tc>
          <w:tcPr>
            <w:tcW w:w="598" w:type="pct"/>
            <w:tcBorders>
              <w:top w:val="nil"/>
              <w:left w:val="nil"/>
              <w:bottom w:val="nil"/>
              <w:right w:val="nil"/>
            </w:tcBorders>
            <w:vAlign w:val="bottom"/>
          </w:tcPr>
          <w:p w:rsidR="00540AC8" w:rsidRPr="00BA190A" w:rsidRDefault="00540AC8" w:rsidP="00BA19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1</w:t>
            </w:r>
            <w:r w:rsidR="00BA190A" w:rsidRPr="00BA190A">
              <w:t>3</w:t>
            </w:r>
            <w:r w:rsidRPr="00BA190A">
              <w:t>,</w:t>
            </w:r>
            <w:r w:rsidR="00BA190A" w:rsidRPr="00BA190A">
              <w:t>403</w:t>
            </w:r>
          </w:p>
        </w:tc>
        <w:tc>
          <w:tcPr>
            <w:tcW w:w="598"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p>
        </w:tc>
        <w:tc>
          <w:tcPr>
            <w:tcW w:w="597" w:type="pct"/>
            <w:tcBorders>
              <w:top w:val="nil"/>
              <w:left w:val="nil"/>
              <w:bottom w:val="nil"/>
              <w:right w:val="nil"/>
            </w:tcBorders>
            <w:vAlign w:val="bottom"/>
          </w:tcPr>
          <w:p w:rsidR="00540AC8" w:rsidRPr="00D35A8E" w:rsidRDefault="00540AC8" w:rsidP="00CA3F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1,3</w:t>
            </w:r>
            <w:r w:rsidR="00CA3FC0">
              <w:t>94</w:t>
            </w:r>
            <w:r w:rsidRPr="00D35A8E">
              <w:t>,</w:t>
            </w:r>
            <w:r w:rsidR="00CA3FC0">
              <w:t>088</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Goodwill</w:t>
            </w:r>
            <w:r w:rsidRPr="00D35A8E">
              <w:tab/>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251,907</w:t>
            </w:r>
          </w:p>
        </w:tc>
        <w:tc>
          <w:tcPr>
            <w:tcW w:w="598" w:type="pct"/>
            <w:tcBorders>
              <w:top w:val="nil"/>
              <w:left w:val="nil"/>
              <w:bottom w:val="nil"/>
              <w:right w:val="nil"/>
            </w:tcBorders>
            <w:vAlign w:val="bottom"/>
          </w:tcPr>
          <w:p w:rsidR="00540AC8" w:rsidRPr="00BA190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p>
        </w:tc>
        <w:tc>
          <w:tcPr>
            <w:tcW w:w="598"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p>
        </w:tc>
        <w:tc>
          <w:tcPr>
            <w:tcW w:w="597"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251,907</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Affiliate and intercompany receivable</w:t>
            </w:r>
            <w:r w:rsidRPr="00D35A8E">
              <w:tab/>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E22A8A" w:rsidRDefault="00E22A8A"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1</w:t>
            </w:r>
            <w:r w:rsidR="00540AC8" w:rsidRPr="00E22A8A">
              <w:t>,</w:t>
            </w:r>
            <w:r w:rsidRPr="00E22A8A">
              <w:t>994</w:t>
            </w:r>
          </w:p>
        </w:tc>
        <w:tc>
          <w:tcPr>
            <w:tcW w:w="598" w:type="pct"/>
            <w:tcBorders>
              <w:top w:val="nil"/>
              <w:left w:val="nil"/>
              <w:bottom w:val="nil"/>
              <w:right w:val="nil"/>
            </w:tcBorders>
            <w:vAlign w:val="bottom"/>
          </w:tcPr>
          <w:p w:rsidR="00540AC8" w:rsidRPr="00BA190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p>
        </w:tc>
        <w:tc>
          <w:tcPr>
            <w:tcW w:w="598" w:type="pct"/>
            <w:tcBorders>
              <w:top w:val="nil"/>
              <w:left w:val="nil"/>
              <w:bottom w:val="nil"/>
              <w:right w:val="nil"/>
            </w:tcBorders>
            <w:vAlign w:val="bottom"/>
          </w:tcPr>
          <w:p w:rsidR="00540AC8" w:rsidRPr="00D35A8E" w:rsidRDefault="00540AC8" w:rsidP="00D35A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r w:rsidR="00D35A8E" w:rsidRPr="00D35A8E">
              <w:t>171</w:t>
            </w:r>
            <w:r w:rsidRPr="00D35A8E">
              <w:t>)</w:t>
            </w:r>
          </w:p>
        </w:tc>
        <w:tc>
          <w:tcPr>
            <w:tcW w:w="597" w:type="pct"/>
            <w:tcBorders>
              <w:top w:val="nil"/>
              <w:left w:val="nil"/>
              <w:bottom w:val="nil"/>
              <w:right w:val="nil"/>
            </w:tcBorders>
            <w:vAlign w:val="bottom"/>
          </w:tcPr>
          <w:p w:rsidR="00540AC8" w:rsidRPr="00D35A8E" w:rsidRDefault="00540AC8" w:rsidP="00CA3F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1,</w:t>
            </w:r>
            <w:r w:rsidR="00CA3FC0">
              <w:t>823</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Intercompany interest receivable</w:t>
            </w:r>
            <w:r w:rsidRPr="00D35A8E">
              <w:tab/>
            </w:r>
          </w:p>
        </w:tc>
        <w:tc>
          <w:tcPr>
            <w:tcW w:w="598" w:type="pct"/>
            <w:tcBorders>
              <w:top w:val="nil"/>
              <w:left w:val="nil"/>
              <w:bottom w:val="nil"/>
              <w:right w:val="nil"/>
            </w:tcBorders>
            <w:vAlign w:val="bottom"/>
          </w:tcPr>
          <w:p w:rsidR="00540AC8" w:rsidRPr="00E22A8A" w:rsidRDefault="00540AC8"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1</w:t>
            </w:r>
            <w:r w:rsidR="00E22A8A" w:rsidRPr="00E22A8A">
              <w:t>2</w:t>
            </w:r>
            <w:r w:rsidRPr="00E22A8A">
              <w:t>,</w:t>
            </w:r>
            <w:r w:rsidR="00E22A8A" w:rsidRPr="00E22A8A">
              <w:t>467</w:t>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BA190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p>
        </w:tc>
        <w:tc>
          <w:tcPr>
            <w:tcW w:w="598" w:type="pct"/>
            <w:tcBorders>
              <w:top w:val="nil"/>
              <w:left w:val="nil"/>
              <w:bottom w:val="nil"/>
              <w:right w:val="nil"/>
            </w:tcBorders>
            <w:vAlign w:val="bottom"/>
          </w:tcPr>
          <w:p w:rsidR="00540AC8" w:rsidRPr="00D35A8E" w:rsidRDefault="00540AC8" w:rsidP="00D35A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(1</w:t>
            </w:r>
            <w:r w:rsidR="00D35A8E" w:rsidRPr="00D35A8E">
              <w:t>2</w:t>
            </w:r>
            <w:r w:rsidRPr="00D35A8E">
              <w:t>,</w:t>
            </w:r>
            <w:r w:rsidR="00D35A8E" w:rsidRPr="00D35A8E">
              <w:t>467</w:t>
            </w:r>
            <w:r w:rsidRPr="00D35A8E">
              <w:t>)</w:t>
            </w:r>
          </w:p>
        </w:tc>
        <w:tc>
          <w:tcPr>
            <w:tcW w:w="597"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Intercompany note receivable</w:t>
            </w:r>
            <w:r w:rsidRPr="00D35A8E">
              <w:tab/>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300,000</w:t>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BA190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p>
        </w:tc>
        <w:tc>
          <w:tcPr>
            <w:tcW w:w="598"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(300,000)</w:t>
            </w:r>
          </w:p>
        </w:tc>
        <w:tc>
          <w:tcPr>
            <w:tcW w:w="597"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Investment in subsidiary</w:t>
            </w:r>
            <w:r w:rsidRPr="00D35A8E">
              <w:tab/>
            </w:r>
          </w:p>
        </w:tc>
        <w:tc>
          <w:tcPr>
            <w:tcW w:w="598" w:type="pct"/>
            <w:tcBorders>
              <w:top w:val="nil"/>
              <w:left w:val="nil"/>
              <w:bottom w:val="nil"/>
              <w:right w:val="nil"/>
            </w:tcBorders>
            <w:vAlign w:val="bottom"/>
          </w:tcPr>
          <w:p w:rsidR="00540AC8" w:rsidRPr="00E22A8A" w:rsidRDefault="00540AC8"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5</w:t>
            </w:r>
            <w:r w:rsidR="00E22A8A" w:rsidRPr="00E22A8A">
              <w:t>23</w:t>
            </w:r>
            <w:r w:rsidRPr="00E22A8A">
              <w:t>,</w:t>
            </w:r>
            <w:r w:rsidR="00E22A8A" w:rsidRPr="00E22A8A">
              <w:t>658</w:t>
            </w:r>
          </w:p>
        </w:tc>
        <w:tc>
          <w:tcPr>
            <w:tcW w:w="598" w:type="pct"/>
            <w:tcBorders>
              <w:top w:val="nil"/>
              <w:left w:val="nil"/>
              <w:bottom w:val="nil"/>
              <w:right w:val="nil"/>
            </w:tcBorders>
            <w:vAlign w:val="bottom"/>
          </w:tcPr>
          <w:p w:rsidR="00540AC8" w:rsidRPr="00E22A8A" w:rsidRDefault="00E22A8A"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3</w:t>
            </w:r>
            <w:r w:rsidR="00540AC8" w:rsidRPr="00E22A8A">
              <w:t>,</w:t>
            </w:r>
            <w:r w:rsidRPr="00E22A8A">
              <w:t>130</w:t>
            </w:r>
          </w:p>
        </w:tc>
        <w:tc>
          <w:tcPr>
            <w:tcW w:w="598" w:type="pct"/>
            <w:tcBorders>
              <w:top w:val="nil"/>
              <w:left w:val="nil"/>
              <w:bottom w:val="nil"/>
              <w:right w:val="nil"/>
            </w:tcBorders>
            <w:vAlign w:val="bottom"/>
          </w:tcPr>
          <w:p w:rsidR="00540AC8" w:rsidRPr="00BA190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p>
        </w:tc>
        <w:tc>
          <w:tcPr>
            <w:tcW w:w="598" w:type="pct"/>
            <w:tcBorders>
              <w:top w:val="nil"/>
              <w:left w:val="nil"/>
              <w:bottom w:val="nil"/>
              <w:right w:val="nil"/>
            </w:tcBorders>
            <w:vAlign w:val="bottom"/>
          </w:tcPr>
          <w:p w:rsidR="00540AC8" w:rsidRPr="00D35A8E" w:rsidRDefault="00540AC8" w:rsidP="00D35A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(5</w:t>
            </w:r>
            <w:r w:rsidR="00D35A8E" w:rsidRPr="00D35A8E">
              <w:t>26</w:t>
            </w:r>
            <w:r w:rsidRPr="00D35A8E">
              <w:t>,</w:t>
            </w:r>
            <w:r w:rsidR="00D35A8E" w:rsidRPr="00D35A8E">
              <w:t>788</w:t>
            </w:r>
            <w:r w:rsidRPr="00D35A8E">
              <w:t>)</w:t>
            </w:r>
          </w:p>
        </w:tc>
        <w:tc>
          <w:tcPr>
            <w:tcW w:w="597"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spacing w:after="20"/>
              <w:ind w:left="200" w:hanging="200"/>
            </w:pPr>
            <w:r w:rsidRPr="00D35A8E">
              <w:t>Other assets</w:t>
            </w:r>
            <w:r w:rsidRPr="00D35A8E">
              <w:tab/>
            </w:r>
          </w:p>
        </w:tc>
        <w:tc>
          <w:tcPr>
            <w:tcW w:w="598" w:type="pct"/>
            <w:tcBorders>
              <w:top w:val="nil"/>
              <w:left w:val="nil"/>
              <w:bottom w:val="nil"/>
              <w:right w:val="nil"/>
            </w:tcBorders>
            <w:vAlign w:val="bottom"/>
          </w:tcPr>
          <w:p w:rsidR="00540AC8" w:rsidRPr="00E22A8A" w:rsidRDefault="00540AC8" w:rsidP="00540AC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E22A8A">
              <w:t>—</w:t>
            </w:r>
          </w:p>
        </w:tc>
        <w:tc>
          <w:tcPr>
            <w:tcW w:w="598" w:type="pct"/>
            <w:tcBorders>
              <w:top w:val="nil"/>
              <w:left w:val="nil"/>
              <w:bottom w:val="nil"/>
              <w:right w:val="nil"/>
            </w:tcBorders>
            <w:vAlign w:val="bottom"/>
          </w:tcPr>
          <w:p w:rsidR="00540AC8" w:rsidRPr="00E22A8A" w:rsidRDefault="00540AC8" w:rsidP="00E22A8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E22A8A">
              <w:t>4</w:t>
            </w:r>
            <w:r w:rsidR="00E22A8A" w:rsidRPr="00E22A8A">
              <w:t>3</w:t>
            </w:r>
            <w:r w:rsidRPr="00E22A8A">
              <w:t>,</w:t>
            </w:r>
            <w:r w:rsidR="00E22A8A" w:rsidRPr="00E22A8A">
              <w:t>073</w:t>
            </w:r>
          </w:p>
        </w:tc>
        <w:tc>
          <w:tcPr>
            <w:tcW w:w="598" w:type="pct"/>
            <w:tcBorders>
              <w:top w:val="nil"/>
              <w:left w:val="nil"/>
              <w:bottom w:val="nil"/>
              <w:right w:val="nil"/>
            </w:tcBorders>
            <w:vAlign w:val="bottom"/>
          </w:tcPr>
          <w:p w:rsidR="00540AC8" w:rsidRPr="00BA190A" w:rsidRDefault="00540AC8" w:rsidP="00BA190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BA190A">
              <w:t>1,</w:t>
            </w:r>
            <w:r w:rsidR="00BA190A" w:rsidRPr="00BA190A">
              <w:t>012</w:t>
            </w:r>
          </w:p>
        </w:tc>
        <w:tc>
          <w:tcPr>
            <w:tcW w:w="598" w:type="pct"/>
            <w:tcBorders>
              <w:top w:val="nil"/>
              <w:left w:val="nil"/>
              <w:bottom w:val="nil"/>
              <w:right w:val="nil"/>
            </w:tcBorders>
            <w:vAlign w:val="bottom"/>
          </w:tcPr>
          <w:p w:rsidR="00540AC8" w:rsidRPr="00D35A8E" w:rsidRDefault="00540AC8" w:rsidP="00540AC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35A8E">
              <w:t>—</w:t>
            </w:r>
          </w:p>
        </w:tc>
        <w:tc>
          <w:tcPr>
            <w:tcW w:w="597" w:type="pct"/>
            <w:tcBorders>
              <w:top w:val="nil"/>
              <w:left w:val="nil"/>
              <w:bottom w:val="nil"/>
              <w:right w:val="nil"/>
            </w:tcBorders>
            <w:vAlign w:val="bottom"/>
          </w:tcPr>
          <w:p w:rsidR="00540AC8" w:rsidRPr="00D35A8E" w:rsidRDefault="00540AC8" w:rsidP="00CA3FC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35A8E">
              <w:t>4</w:t>
            </w:r>
            <w:r w:rsidR="00CA3FC0">
              <w:t>4</w:t>
            </w:r>
            <w:r w:rsidRPr="00D35A8E">
              <w:t>,</w:t>
            </w:r>
            <w:r w:rsidR="00CA3FC0">
              <w:t>085</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spacing w:after="40"/>
              <w:ind w:left="200" w:hanging="200"/>
            </w:pPr>
            <w:r w:rsidRPr="00D35A8E">
              <w:rPr>
                <w:bCs/>
              </w:rPr>
              <w:t>Total assets</w:t>
            </w:r>
            <w:r w:rsidRPr="00D35A8E">
              <w:tab/>
            </w:r>
          </w:p>
        </w:tc>
        <w:tc>
          <w:tcPr>
            <w:tcW w:w="598" w:type="pct"/>
            <w:tcBorders>
              <w:top w:val="nil"/>
              <w:left w:val="nil"/>
              <w:bottom w:val="nil"/>
              <w:right w:val="nil"/>
            </w:tcBorders>
            <w:vAlign w:val="bottom"/>
          </w:tcPr>
          <w:p w:rsidR="00540AC8" w:rsidRPr="00E22A8A" w:rsidRDefault="00540AC8" w:rsidP="00E22A8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E22A8A">
              <w:t>$</w:t>
            </w:r>
            <w:r w:rsidR="00A70203" w:rsidRPr="00E22A8A">
              <w:t xml:space="preserve">      </w:t>
            </w:r>
            <w:r w:rsidRPr="00E22A8A">
              <w:t>8</w:t>
            </w:r>
            <w:r w:rsidR="00E22A8A" w:rsidRPr="00E22A8A">
              <w:t>36</w:t>
            </w:r>
            <w:r w:rsidRPr="00E22A8A">
              <w:t>,</w:t>
            </w:r>
            <w:r w:rsidR="00E22A8A" w:rsidRPr="00E22A8A">
              <w:t>125</w:t>
            </w:r>
          </w:p>
        </w:tc>
        <w:tc>
          <w:tcPr>
            <w:tcW w:w="598" w:type="pct"/>
            <w:tcBorders>
              <w:top w:val="nil"/>
              <w:left w:val="nil"/>
              <w:bottom w:val="nil"/>
              <w:right w:val="nil"/>
            </w:tcBorders>
            <w:vAlign w:val="bottom"/>
          </w:tcPr>
          <w:p w:rsidR="00540AC8" w:rsidRPr="00E22A8A" w:rsidRDefault="00540AC8" w:rsidP="00E22A8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E22A8A">
              <w:t>$</w:t>
            </w:r>
            <w:r w:rsidR="00A70203" w:rsidRPr="00E22A8A">
              <w:t xml:space="preserve">   </w:t>
            </w:r>
            <w:r w:rsidRPr="00E22A8A">
              <w:t>1,</w:t>
            </w:r>
            <w:r w:rsidR="00E22A8A" w:rsidRPr="00E22A8A">
              <w:t>839</w:t>
            </w:r>
            <w:r w:rsidRPr="00E22A8A">
              <w:t>,</w:t>
            </w:r>
            <w:r w:rsidR="00E22A8A" w:rsidRPr="00E22A8A">
              <w:t>884</w:t>
            </w:r>
          </w:p>
        </w:tc>
        <w:tc>
          <w:tcPr>
            <w:tcW w:w="598" w:type="pct"/>
            <w:tcBorders>
              <w:top w:val="nil"/>
              <w:left w:val="nil"/>
              <w:bottom w:val="nil"/>
              <w:right w:val="nil"/>
            </w:tcBorders>
            <w:vAlign w:val="bottom"/>
          </w:tcPr>
          <w:p w:rsidR="00540AC8" w:rsidRPr="00BA190A" w:rsidRDefault="00540AC8" w:rsidP="00BA190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BA190A">
              <w:t>$</w:t>
            </w:r>
            <w:r w:rsidR="00A70203" w:rsidRPr="00BA190A">
              <w:t xml:space="preserve">        </w:t>
            </w:r>
            <w:r w:rsidRPr="00BA190A">
              <w:t>1</w:t>
            </w:r>
            <w:r w:rsidR="00BA190A" w:rsidRPr="00BA190A">
              <w:t>5</w:t>
            </w:r>
            <w:r w:rsidRPr="00BA190A">
              <w:t>,</w:t>
            </w:r>
            <w:r w:rsidR="00BA190A" w:rsidRPr="00BA190A">
              <w:t>538</w:t>
            </w:r>
          </w:p>
        </w:tc>
        <w:tc>
          <w:tcPr>
            <w:tcW w:w="598" w:type="pct"/>
            <w:tcBorders>
              <w:top w:val="nil"/>
              <w:left w:val="nil"/>
              <w:bottom w:val="nil"/>
              <w:right w:val="nil"/>
            </w:tcBorders>
            <w:vAlign w:val="bottom"/>
          </w:tcPr>
          <w:p w:rsidR="00540AC8" w:rsidRPr="00D35A8E" w:rsidRDefault="00540AC8" w:rsidP="00D35A8E">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D35A8E">
              <w:t>$</w:t>
            </w:r>
            <w:r w:rsidR="00A70203" w:rsidRPr="00D35A8E">
              <w:t xml:space="preserve">   </w:t>
            </w:r>
            <w:r w:rsidRPr="00D35A8E">
              <w:t>(8</w:t>
            </w:r>
            <w:r w:rsidR="00D35A8E" w:rsidRPr="00D35A8E">
              <w:t>49</w:t>
            </w:r>
            <w:r w:rsidRPr="00D35A8E">
              <w:t>,</w:t>
            </w:r>
            <w:r w:rsidR="00D35A8E" w:rsidRPr="00D35A8E">
              <w:t>637)</w:t>
            </w:r>
          </w:p>
        </w:tc>
        <w:tc>
          <w:tcPr>
            <w:tcW w:w="597" w:type="pct"/>
            <w:tcBorders>
              <w:top w:val="nil"/>
              <w:left w:val="nil"/>
              <w:bottom w:val="nil"/>
              <w:right w:val="nil"/>
            </w:tcBorders>
            <w:vAlign w:val="bottom"/>
          </w:tcPr>
          <w:p w:rsidR="00540AC8" w:rsidRPr="00D35A8E" w:rsidRDefault="00540AC8" w:rsidP="00CA3FC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D35A8E">
              <w:t>$</w:t>
            </w:r>
            <w:r w:rsidR="00A70203" w:rsidRPr="00D35A8E">
              <w:t xml:space="preserve">   </w:t>
            </w:r>
            <w:r w:rsidRPr="00D35A8E">
              <w:t>1,</w:t>
            </w:r>
            <w:r w:rsidR="00CA3FC0">
              <w:t>841</w:t>
            </w:r>
            <w:r w:rsidRPr="00D35A8E">
              <w:t>,</w:t>
            </w:r>
            <w:r w:rsidR="00CA3FC0">
              <w:t>910</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D35A8E">
              <w:rPr>
                <w:b/>
                <w:bCs/>
              </w:rPr>
              <w:t>Liabilities and member’s interest</w:t>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98" w:type="pct"/>
            <w:tcBorders>
              <w:top w:val="nil"/>
              <w:left w:val="nil"/>
              <w:bottom w:val="nil"/>
              <w:right w:val="nil"/>
            </w:tcBorders>
            <w:vAlign w:val="bottom"/>
          </w:tcPr>
          <w:p w:rsidR="00540AC8" w:rsidRPr="0053635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98" w:type="pct"/>
            <w:tcBorders>
              <w:top w:val="nil"/>
              <w:left w:val="nil"/>
              <w:bottom w:val="nil"/>
              <w:right w:val="nil"/>
            </w:tcBorders>
            <w:vAlign w:val="bottom"/>
          </w:tcPr>
          <w:p w:rsidR="00540AC8" w:rsidRPr="0053635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98"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97"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Accounts payable, accrued expenses and other liabilities</w:t>
            </w:r>
            <w:r w:rsidRPr="00D35A8E">
              <w:tab/>
            </w:r>
          </w:p>
        </w:tc>
        <w:tc>
          <w:tcPr>
            <w:tcW w:w="598" w:type="pct"/>
            <w:tcBorders>
              <w:top w:val="nil"/>
              <w:left w:val="nil"/>
              <w:bottom w:val="nil"/>
              <w:right w:val="nil"/>
            </w:tcBorders>
            <w:vAlign w:val="bottom"/>
          </w:tcPr>
          <w:p w:rsidR="00540AC8" w:rsidRPr="00E22A8A" w:rsidRDefault="00540AC8"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r w:rsidR="00A70203" w:rsidRPr="00E22A8A">
              <w:t xml:space="preserve">        </w:t>
            </w:r>
            <w:r w:rsidRPr="00E22A8A">
              <w:t>1</w:t>
            </w:r>
            <w:r w:rsidR="00E22A8A" w:rsidRPr="00E22A8A">
              <w:t>2</w:t>
            </w:r>
            <w:r w:rsidRPr="00E22A8A">
              <w:t>,</w:t>
            </w:r>
            <w:r w:rsidR="00E22A8A" w:rsidRPr="00E22A8A">
              <w:t>467</w:t>
            </w:r>
          </w:p>
        </w:tc>
        <w:tc>
          <w:tcPr>
            <w:tcW w:w="598" w:type="pct"/>
            <w:tcBorders>
              <w:top w:val="nil"/>
              <w:left w:val="nil"/>
              <w:bottom w:val="nil"/>
              <w:right w:val="nil"/>
            </w:tcBorders>
            <w:vAlign w:val="bottom"/>
          </w:tcPr>
          <w:p w:rsidR="00540AC8" w:rsidRPr="00BA190A" w:rsidRDefault="00540AC8"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r w:rsidR="00A70203" w:rsidRPr="00BA190A">
              <w:t xml:space="preserve">        </w:t>
            </w:r>
            <w:r w:rsidR="00E22A8A" w:rsidRPr="00BA190A">
              <w:t>42</w:t>
            </w:r>
            <w:r w:rsidRPr="00BA190A">
              <w:t>,</w:t>
            </w:r>
            <w:r w:rsidR="00E22A8A" w:rsidRPr="00BA190A">
              <w:t>027</w:t>
            </w:r>
          </w:p>
        </w:tc>
        <w:tc>
          <w:tcPr>
            <w:tcW w:w="598" w:type="pct"/>
            <w:tcBorders>
              <w:top w:val="nil"/>
              <w:left w:val="nil"/>
              <w:bottom w:val="nil"/>
              <w:right w:val="nil"/>
            </w:tcBorders>
            <w:vAlign w:val="bottom"/>
          </w:tcPr>
          <w:p w:rsidR="00540AC8" w:rsidRPr="00BA190A" w:rsidRDefault="00540AC8" w:rsidP="00BA19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r w:rsidR="00A70203" w:rsidRPr="00BA190A">
              <w:t xml:space="preserve">             </w:t>
            </w:r>
            <w:r w:rsidRPr="00BA190A">
              <w:t>2</w:t>
            </w:r>
            <w:r w:rsidR="00BA190A" w:rsidRPr="00BA190A">
              <w:t>90</w:t>
            </w:r>
          </w:p>
        </w:tc>
        <w:tc>
          <w:tcPr>
            <w:tcW w:w="598"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r w:rsidR="00A70203" w:rsidRPr="00D35A8E">
              <w:t xml:space="preserve">               </w:t>
            </w:r>
            <w:r w:rsidRPr="00D35A8E">
              <w:t>—</w:t>
            </w:r>
          </w:p>
        </w:tc>
        <w:tc>
          <w:tcPr>
            <w:tcW w:w="597" w:type="pct"/>
            <w:tcBorders>
              <w:top w:val="nil"/>
              <w:left w:val="nil"/>
              <w:bottom w:val="nil"/>
              <w:right w:val="nil"/>
            </w:tcBorders>
            <w:vAlign w:val="bottom"/>
          </w:tcPr>
          <w:p w:rsidR="00540AC8" w:rsidRPr="00D35A8E" w:rsidRDefault="00540AC8" w:rsidP="00D35A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r w:rsidR="00A70203" w:rsidRPr="00D35A8E">
              <w:t xml:space="preserve">        </w:t>
            </w:r>
            <w:r w:rsidR="00D35A8E" w:rsidRPr="00D35A8E">
              <w:t>54</w:t>
            </w:r>
            <w:r w:rsidRPr="00D35A8E">
              <w:t>,</w:t>
            </w:r>
            <w:r w:rsidR="00D35A8E" w:rsidRPr="00D35A8E">
              <w:t>784</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Intercompany payable</w:t>
            </w:r>
            <w:r w:rsidRPr="00D35A8E">
              <w:tab/>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BA190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p>
        </w:tc>
        <w:tc>
          <w:tcPr>
            <w:tcW w:w="598" w:type="pct"/>
            <w:tcBorders>
              <w:top w:val="nil"/>
              <w:left w:val="nil"/>
              <w:bottom w:val="nil"/>
              <w:right w:val="nil"/>
            </w:tcBorders>
            <w:vAlign w:val="bottom"/>
          </w:tcPr>
          <w:p w:rsidR="00540AC8" w:rsidRPr="00BA190A" w:rsidRDefault="00540AC8" w:rsidP="00BA19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17</w:t>
            </w:r>
            <w:r w:rsidR="00BA190A" w:rsidRPr="00BA190A">
              <w:t>1</w:t>
            </w:r>
          </w:p>
        </w:tc>
        <w:tc>
          <w:tcPr>
            <w:tcW w:w="598" w:type="pct"/>
            <w:tcBorders>
              <w:top w:val="nil"/>
              <w:left w:val="nil"/>
              <w:bottom w:val="nil"/>
              <w:right w:val="nil"/>
            </w:tcBorders>
            <w:vAlign w:val="bottom"/>
          </w:tcPr>
          <w:p w:rsidR="00540AC8" w:rsidRPr="00D35A8E" w:rsidRDefault="00540AC8" w:rsidP="00D35A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(17</w:t>
            </w:r>
            <w:r w:rsidR="00D35A8E" w:rsidRPr="00D35A8E">
              <w:t>1</w:t>
            </w:r>
            <w:r w:rsidRPr="00D35A8E">
              <w:t>)</w:t>
            </w:r>
          </w:p>
        </w:tc>
        <w:tc>
          <w:tcPr>
            <w:tcW w:w="597"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Intercompany note payable</w:t>
            </w:r>
            <w:r w:rsidRPr="00D35A8E">
              <w:tab/>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BA190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300,000</w:t>
            </w:r>
          </w:p>
        </w:tc>
        <w:tc>
          <w:tcPr>
            <w:tcW w:w="598" w:type="pct"/>
            <w:tcBorders>
              <w:top w:val="nil"/>
              <w:left w:val="nil"/>
              <w:bottom w:val="nil"/>
              <w:right w:val="nil"/>
            </w:tcBorders>
            <w:vAlign w:val="bottom"/>
          </w:tcPr>
          <w:p w:rsidR="00540AC8" w:rsidRPr="00BA190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p>
        </w:tc>
        <w:tc>
          <w:tcPr>
            <w:tcW w:w="598"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(300,000)</w:t>
            </w:r>
          </w:p>
        </w:tc>
        <w:tc>
          <w:tcPr>
            <w:tcW w:w="597"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Intercompany interest payable</w:t>
            </w:r>
            <w:r w:rsidRPr="00D35A8E">
              <w:tab/>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BA190A" w:rsidRDefault="00540AC8"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1</w:t>
            </w:r>
            <w:r w:rsidR="00E22A8A" w:rsidRPr="00BA190A">
              <w:t>2</w:t>
            </w:r>
            <w:r w:rsidRPr="00BA190A">
              <w:t>,</w:t>
            </w:r>
            <w:r w:rsidR="00E22A8A" w:rsidRPr="00BA190A">
              <w:t>467</w:t>
            </w:r>
          </w:p>
        </w:tc>
        <w:tc>
          <w:tcPr>
            <w:tcW w:w="598" w:type="pct"/>
            <w:tcBorders>
              <w:top w:val="nil"/>
              <w:left w:val="nil"/>
              <w:bottom w:val="nil"/>
              <w:right w:val="nil"/>
            </w:tcBorders>
            <w:vAlign w:val="bottom"/>
          </w:tcPr>
          <w:p w:rsidR="00540AC8" w:rsidRPr="00BA190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p>
        </w:tc>
        <w:tc>
          <w:tcPr>
            <w:tcW w:w="598" w:type="pct"/>
            <w:tcBorders>
              <w:top w:val="nil"/>
              <w:left w:val="nil"/>
              <w:bottom w:val="nil"/>
              <w:right w:val="nil"/>
            </w:tcBorders>
            <w:vAlign w:val="bottom"/>
          </w:tcPr>
          <w:p w:rsidR="00540AC8" w:rsidRPr="00D35A8E" w:rsidRDefault="00540AC8" w:rsidP="00D35A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(1</w:t>
            </w:r>
            <w:r w:rsidR="00D35A8E" w:rsidRPr="00D35A8E">
              <w:t>2</w:t>
            </w:r>
            <w:r w:rsidRPr="00D35A8E">
              <w:t>,</w:t>
            </w:r>
            <w:r w:rsidR="00D35A8E" w:rsidRPr="00D35A8E">
              <w:t>467</w:t>
            </w:r>
            <w:r w:rsidRPr="00D35A8E">
              <w:t>)</w:t>
            </w:r>
          </w:p>
        </w:tc>
        <w:tc>
          <w:tcPr>
            <w:tcW w:w="597"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Intercompany lease payable</w:t>
            </w:r>
            <w:r w:rsidRPr="00D35A8E">
              <w:tab/>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BA190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w:t>
            </w:r>
          </w:p>
        </w:tc>
        <w:tc>
          <w:tcPr>
            <w:tcW w:w="598" w:type="pct"/>
            <w:tcBorders>
              <w:top w:val="nil"/>
              <w:left w:val="nil"/>
              <w:bottom w:val="nil"/>
              <w:right w:val="nil"/>
            </w:tcBorders>
            <w:vAlign w:val="bottom"/>
          </w:tcPr>
          <w:p w:rsidR="00540AC8" w:rsidRPr="00BA190A" w:rsidRDefault="00540AC8" w:rsidP="00BA19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1</w:t>
            </w:r>
            <w:r w:rsidR="00BA190A" w:rsidRPr="00BA190A">
              <w:t>0</w:t>
            </w:r>
            <w:r w:rsidRPr="00BA190A">
              <w:t>,</w:t>
            </w:r>
            <w:r w:rsidR="00BA190A" w:rsidRPr="00BA190A">
              <w:t>211</w:t>
            </w:r>
          </w:p>
        </w:tc>
        <w:tc>
          <w:tcPr>
            <w:tcW w:w="598" w:type="pct"/>
            <w:tcBorders>
              <w:top w:val="nil"/>
              <w:left w:val="nil"/>
              <w:bottom w:val="nil"/>
              <w:right w:val="nil"/>
            </w:tcBorders>
            <w:vAlign w:val="bottom"/>
          </w:tcPr>
          <w:p w:rsidR="00540AC8" w:rsidRPr="00D35A8E" w:rsidRDefault="00540AC8" w:rsidP="00D35A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(1</w:t>
            </w:r>
            <w:r w:rsidR="00D35A8E" w:rsidRPr="00D35A8E">
              <w:t>0</w:t>
            </w:r>
            <w:r w:rsidRPr="00D35A8E">
              <w:t>,</w:t>
            </w:r>
            <w:r w:rsidR="00D35A8E" w:rsidRPr="00D35A8E">
              <w:t>211</w:t>
            </w:r>
            <w:r w:rsidRPr="00D35A8E">
              <w:t>)</w:t>
            </w:r>
          </w:p>
        </w:tc>
        <w:tc>
          <w:tcPr>
            <w:tcW w:w="597"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t>Deferred income taxes</w:t>
            </w:r>
            <w:r w:rsidR="000142FD">
              <w:t>, net</w:t>
            </w:r>
            <w:r w:rsidRPr="00D35A8E">
              <w:tab/>
            </w:r>
          </w:p>
        </w:tc>
        <w:tc>
          <w:tcPr>
            <w:tcW w:w="598" w:type="pct"/>
            <w:tcBorders>
              <w:top w:val="nil"/>
              <w:left w:val="nil"/>
              <w:bottom w:val="nil"/>
              <w:right w:val="nil"/>
            </w:tcBorders>
            <w:vAlign w:val="bottom"/>
          </w:tcPr>
          <w:p w:rsidR="00540AC8" w:rsidRPr="00E22A8A"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w:t>
            </w:r>
          </w:p>
        </w:tc>
        <w:tc>
          <w:tcPr>
            <w:tcW w:w="598" w:type="pct"/>
            <w:tcBorders>
              <w:top w:val="nil"/>
              <w:left w:val="nil"/>
              <w:bottom w:val="nil"/>
              <w:right w:val="nil"/>
            </w:tcBorders>
            <w:vAlign w:val="bottom"/>
          </w:tcPr>
          <w:p w:rsidR="00540AC8" w:rsidRPr="00BA190A" w:rsidRDefault="00BA190A" w:rsidP="00BA19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97</w:t>
            </w:r>
            <w:r w:rsidR="00540AC8" w:rsidRPr="00BA190A">
              <w:t>,</w:t>
            </w:r>
            <w:r w:rsidRPr="00BA190A">
              <w:t>595</w:t>
            </w:r>
          </w:p>
        </w:tc>
        <w:tc>
          <w:tcPr>
            <w:tcW w:w="598" w:type="pct"/>
            <w:tcBorders>
              <w:top w:val="nil"/>
              <w:left w:val="nil"/>
              <w:bottom w:val="nil"/>
              <w:right w:val="nil"/>
            </w:tcBorders>
            <w:vAlign w:val="bottom"/>
          </w:tcPr>
          <w:p w:rsidR="00540AC8" w:rsidRPr="00BA190A" w:rsidRDefault="00BA190A" w:rsidP="00BA19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1,736</w:t>
            </w:r>
          </w:p>
        </w:tc>
        <w:tc>
          <w:tcPr>
            <w:tcW w:w="598" w:type="pct"/>
            <w:tcBorders>
              <w:top w:val="nil"/>
              <w:left w:val="nil"/>
              <w:bottom w:val="nil"/>
              <w:right w:val="nil"/>
            </w:tcBorders>
            <w:vAlign w:val="bottom"/>
          </w:tcPr>
          <w:p w:rsidR="00540AC8" w:rsidRPr="00D35A8E" w:rsidRDefault="00540AC8" w:rsidP="00540AC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w:t>
            </w:r>
          </w:p>
        </w:tc>
        <w:tc>
          <w:tcPr>
            <w:tcW w:w="597" w:type="pct"/>
            <w:tcBorders>
              <w:top w:val="nil"/>
              <w:left w:val="nil"/>
              <w:bottom w:val="nil"/>
              <w:right w:val="nil"/>
            </w:tcBorders>
            <w:vAlign w:val="bottom"/>
          </w:tcPr>
          <w:p w:rsidR="00540AC8" w:rsidRPr="00D35A8E" w:rsidRDefault="00D35A8E" w:rsidP="00D35A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99</w:t>
            </w:r>
            <w:r w:rsidR="00540AC8" w:rsidRPr="00D35A8E">
              <w:t>,</w:t>
            </w:r>
            <w:r w:rsidRPr="00D35A8E">
              <w:t>331</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spacing w:after="20"/>
              <w:ind w:left="200" w:hanging="200"/>
            </w:pPr>
            <w:r w:rsidRPr="00D35A8E">
              <w:t>Debt and capital lease obligations</w:t>
            </w:r>
            <w:r w:rsidRPr="00D35A8E">
              <w:tab/>
            </w:r>
          </w:p>
        </w:tc>
        <w:tc>
          <w:tcPr>
            <w:tcW w:w="598" w:type="pct"/>
            <w:tcBorders>
              <w:top w:val="nil"/>
              <w:left w:val="nil"/>
              <w:bottom w:val="nil"/>
              <w:right w:val="nil"/>
            </w:tcBorders>
            <w:vAlign w:val="bottom"/>
          </w:tcPr>
          <w:p w:rsidR="00540AC8" w:rsidRPr="00E22A8A" w:rsidRDefault="00540AC8" w:rsidP="00540AC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E22A8A">
              <w:t>300,000</w:t>
            </w:r>
          </w:p>
        </w:tc>
        <w:tc>
          <w:tcPr>
            <w:tcW w:w="598" w:type="pct"/>
            <w:tcBorders>
              <w:top w:val="nil"/>
              <w:left w:val="nil"/>
              <w:bottom w:val="nil"/>
              <w:right w:val="nil"/>
            </w:tcBorders>
            <w:vAlign w:val="bottom"/>
          </w:tcPr>
          <w:p w:rsidR="00540AC8" w:rsidRPr="00BA190A" w:rsidRDefault="00540AC8" w:rsidP="00BA190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BA190A">
              <w:t>8</w:t>
            </w:r>
            <w:r w:rsidR="00BA190A" w:rsidRPr="00BA190A">
              <w:t>64</w:t>
            </w:r>
            <w:r w:rsidRPr="00BA190A">
              <w:t>,</w:t>
            </w:r>
            <w:r w:rsidR="00BA190A" w:rsidRPr="00BA190A">
              <w:t>137</w:t>
            </w:r>
          </w:p>
        </w:tc>
        <w:tc>
          <w:tcPr>
            <w:tcW w:w="598" w:type="pct"/>
            <w:tcBorders>
              <w:top w:val="nil"/>
              <w:left w:val="nil"/>
              <w:bottom w:val="nil"/>
              <w:right w:val="nil"/>
            </w:tcBorders>
            <w:vAlign w:val="bottom"/>
          </w:tcPr>
          <w:p w:rsidR="00540AC8" w:rsidRPr="00BA190A" w:rsidRDefault="00540AC8" w:rsidP="00540AC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BA190A">
              <w:t>—</w:t>
            </w:r>
          </w:p>
        </w:tc>
        <w:tc>
          <w:tcPr>
            <w:tcW w:w="598" w:type="pct"/>
            <w:tcBorders>
              <w:top w:val="nil"/>
              <w:left w:val="nil"/>
              <w:bottom w:val="nil"/>
              <w:right w:val="nil"/>
            </w:tcBorders>
            <w:vAlign w:val="bottom"/>
          </w:tcPr>
          <w:p w:rsidR="00540AC8" w:rsidRPr="00D35A8E" w:rsidRDefault="00540AC8" w:rsidP="00540AC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35A8E">
              <w:t>—</w:t>
            </w:r>
          </w:p>
        </w:tc>
        <w:tc>
          <w:tcPr>
            <w:tcW w:w="597" w:type="pct"/>
            <w:tcBorders>
              <w:top w:val="nil"/>
              <w:left w:val="nil"/>
              <w:bottom w:val="nil"/>
              <w:right w:val="nil"/>
            </w:tcBorders>
            <w:vAlign w:val="bottom"/>
          </w:tcPr>
          <w:p w:rsidR="00540AC8" w:rsidRPr="00D35A8E" w:rsidRDefault="00540AC8" w:rsidP="00D35A8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35A8E">
              <w:t>1,1</w:t>
            </w:r>
            <w:r w:rsidR="00D35A8E" w:rsidRPr="00D35A8E">
              <w:t>64</w:t>
            </w:r>
            <w:r w:rsidRPr="00D35A8E">
              <w:t>,</w:t>
            </w:r>
            <w:r w:rsidR="00D35A8E" w:rsidRPr="00D35A8E">
              <w:t>137</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ind w:left="200" w:hanging="200"/>
            </w:pPr>
            <w:r w:rsidRPr="00D35A8E">
              <w:rPr>
                <w:bCs/>
              </w:rPr>
              <w:t>Total liabilities</w:t>
            </w:r>
            <w:r w:rsidRPr="00D35A8E">
              <w:tab/>
            </w:r>
          </w:p>
        </w:tc>
        <w:tc>
          <w:tcPr>
            <w:tcW w:w="598" w:type="pct"/>
            <w:tcBorders>
              <w:top w:val="nil"/>
              <w:left w:val="nil"/>
              <w:bottom w:val="nil"/>
              <w:right w:val="nil"/>
            </w:tcBorders>
            <w:vAlign w:val="bottom"/>
          </w:tcPr>
          <w:p w:rsidR="00540AC8" w:rsidRPr="00E22A8A" w:rsidRDefault="00540AC8" w:rsidP="00E22A8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E22A8A">
              <w:t>31</w:t>
            </w:r>
            <w:r w:rsidR="00E22A8A" w:rsidRPr="00E22A8A">
              <w:t>2</w:t>
            </w:r>
            <w:r w:rsidRPr="00E22A8A">
              <w:t>,</w:t>
            </w:r>
            <w:r w:rsidR="00E22A8A" w:rsidRPr="00E22A8A">
              <w:t>467</w:t>
            </w:r>
          </w:p>
        </w:tc>
        <w:tc>
          <w:tcPr>
            <w:tcW w:w="598" w:type="pct"/>
            <w:tcBorders>
              <w:top w:val="nil"/>
              <w:left w:val="nil"/>
              <w:bottom w:val="nil"/>
              <w:right w:val="nil"/>
            </w:tcBorders>
            <w:vAlign w:val="bottom"/>
          </w:tcPr>
          <w:p w:rsidR="00540AC8" w:rsidRPr="00BA190A" w:rsidRDefault="00540AC8" w:rsidP="00BA19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1,</w:t>
            </w:r>
            <w:r w:rsidR="00BA190A" w:rsidRPr="00BA190A">
              <w:t>316</w:t>
            </w:r>
            <w:r w:rsidRPr="00BA190A">
              <w:t>,</w:t>
            </w:r>
            <w:r w:rsidR="00BA190A" w:rsidRPr="00BA190A">
              <w:t>226</w:t>
            </w:r>
          </w:p>
        </w:tc>
        <w:tc>
          <w:tcPr>
            <w:tcW w:w="598" w:type="pct"/>
            <w:tcBorders>
              <w:top w:val="nil"/>
              <w:left w:val="nil"/>
              <w:bottom w:val="nil"/>
              <w:right w:val="nil"/>
            </w:tcBorders>
            <w:vAlign w:val="bottom"/>
          </w:tcPr>
          <w:p w:rsidR="00540AC8" w:rsidRPr="00BA190A" w:rsidRDefault="00540AC8" w:rsidP="00BA190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BA190A">
              <w:t>1</w:t>
            </w:r>
            <w:r w:rsidR="00BA190A" w:rsidRPr="00BA190A">
              <w:t>2</w:t>
            </w:r>
            <w:r w:rsidRPr="00BA190A">
              <w:t>,</w:t>
            </w:r>
            <w:r w:rsidR="00BA190A" w:rsidRPr="00BA190A">
              <w:t>408</w:t>
            </w:r>
          </w:p>
        </w:tc>
        <w:tc>
          <w:tcPr>
            <w:tcW w:w="598" w:type="pct"/>
            <w:tcBorders>
              <w:top w:val="nil"/>
              <w:left w:val="nil"/>
              <w:bottom w:val="nil"/>
              <w:right w:val="nil"/>
            </w:tcBorders>
            <w:vAlign w:val="bottom"/>
          </w:tcPr>
          <w:p w:rsidR="00540AC8" w:rsidRPr="00D35A8E" w:rsidRDefault="00540AC8" w:rsidP="00D35A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(32</w:t>
            </w:r>
            <w:r w:rsidR="00D35A8E" w:rsidRPr="00D35A8E">
              <w:t>2</w:t>
            </w:r>
            <w:r w:rsidRPr="00D35A8E">
              <w:t>,</w:t>
            </w:r>
            <w:r w:rsidR="00D35A8E" w:rsidRPr="00D35A8E">
              <w:t>849</w:t>
            </w:r>
            <w:r w:rsidRPr="00D35A8E">
              <w:t>)</w:t>
            </w:r>
          </w:p>
        </w:tc>
        <w:tc>
          <w:tcPr>
            <w:tcW w:w="597" w:type="pct"/>
            <w:tcBorders>
              <w:top w:val="nil"/>
              <w:left w:val="nil"/>
              <w:bottom w:val="nil"/>
              <w:right w:val="nil"/>
            </w:tcBorders>
            <w:vAlign w:val="bottom"/>
          </w:tcPr>
          <w:p w:rsidR="00540AC8" w:rsidRPr="00D35A8E" w:rsidRDefault="00540AC8" w:rsidP="00D35A8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5A8E">
              <w:t>1,</w:t>
            </w:r>
            <w:r w:rsidR="00D35A8E" w:rsidRPr="00D35A8E">
              <w:t>318</w:t>
            </w:r>
            <w:r w:rsidRPr="00D35A8E">
              <w:t>,</w:t>
            </w:r>
            <w:r w:rsidR="00D35A8E" w:rsidRPr="00D35A8E">
              <w:t>252</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spacing w:after="20"/>
              <w:ind w:left="200" w:hanging="200"/>
            </w:pPr>
            <w:r w:rsidRPr="00D35A8E">
              <w:rPr>
                <w:bCs/>
              </w:rPr>
              <w:t>Total member’s interest</w:t>
            </w:r>
            <w:r w:rsidRPr="00D35A8E">
              <w:tab/>
            </w:r>
          </w:p>
        </w:tc>
        <w:tc>
          <w:tcPr>
            <w:tcW w:w="598" w:type="pct"/>
            <w:tcBorders>
              <w:top w:val="nil"/>
              <w:left w:val="nil"/>
              <w:bottom w:val="nil"/>
              <w:right w:val="nil"/>
            </w:tcBorders>
            <w:vAlign w:val="bottom"/>
          </w:tcPr>
          <w:p w:rsidR="00540AC8" w:rsidRPr="00E22A8A" w:rsidRDefault="00540AC8" w:rsidP="00E22A8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E22A8A">
              <w:t>5</w:t>
            </w:r>
            <w:r w:rsidR="00E22A8A" w:rsidRPr="00E22A8A">
              <w:t>23</w:t>
            </w:r>
            <w:r w:rsidRPr="00E22A8A">
              <w:t>,</w:t>
            </w:r>
            <w:r w:rsidR="00E22A8A" w:rsidRPr="00E22A8A">
              <w:t>658</w:t>
            </w:r>
          </w:p>
        </w:tc>
        <w:tc>
          <w:tcPr>
            <w:tcW w:w="598" w:type="pct"/>
            <w:tcBorders>
              <w:top w:val="nil"/>
              <w:left w:val="nil"/>
              <w:bottom w:val="nil"/>
              <w:right w:val="nil"/>
            </w:tcBorders>
            <w:vAlign w:val="bottom"/>
          </w:tcPr>
          <w:p w:rsidR="00540AC8" w:rsidRPr="00BA190A" w:rsidRDefault="00540AC8" w:rsidP="00BA190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BA190A">
              <w:t>5</w:t>
            </w:r>
            <w:r w:rsidR="00BA190A" w:rsidRPr="00BA190A">
              <w:t>23</w:t>
            </w:r>
            <w:r w:rsidRPr="00BA190A">
              <w:t>,</w:t>
            </w:r>
            <w:r w:rsidR="00BA190A" w:rsidRPr="00BA190A">
              <w:t>658</w:t>
            </w:r>
          </w:p>
        </w:tc>
        <w:tc>
          <w:tcPr>
            <w:tcW w:w="598" w:type="pct"/>
            <w:tcBorders>
              <w:top w:val="nil"/>
              <w:left w:val="nil"/>
              <w:bottom w:val="nil"/>
              <w:right w:val="nil"/>
            </w:tcBorders>
            <w:vAlign w:val="bottom"/>
          </w:tcPr>
          <w:p w:rsidR="00540AC8" w:rsidRPr="00BA190A" w:rsidRDefault="00BA190A" w:rsidP="00BA190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BA190A">
              <w:t>3</w:t>
            </w:r>
            <w:r w:rsidR="00540AC8" w:rsidRPr="00BA190A">
              <w:t>,</w:t>
            </w:r>
            <w:r w:rsidRPr="00BA190A">
              <w:t>130</w:t>
            </w:r>
          </w:p>
        </w:tc>
        <w:tc>
          <w:tcPr>
            <w:tcW w:w="598" w:type="pct"/>
            <w:tcBorders>
              <w:top w:val="nil"/>
              <w:left w:val="nil"/>
              <w:bottom w:val="nil"/>
              <w:right w:val="nil"/>
            </w:tcBorders>
            <w:vAlign w:val="bottom"/>
          </w:tcPr>
          <w:p w:rsidR="00540AC8" w:rsidRPr="00D35A8E" w:rsidRDefault="00540AC8" w:rsidP="00D35A8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35A8E">
              <w:t>(5</w:t>
            </w:r>
            <w:r w:rsidR="00D35A8E" w:rsidRPr="00D35A8E">
              <w:t>2</w:t>
            </w:r>
            <w:r w:rsidRPr="00D35A8E">
              <w:t>6,</w:t>
            </w:r>
            <w:r w:rsidR="00D35A8E" w:rsidRPr="00D35A8E">
              <w:t>788</w:t>
            </w:r>
            <w:r w:rsidRPr="00D35A8E">
              <w:t>)</w:t>
            </w:r>
          </w:p>
        </w:tc>
        <w:tc>
          <w:tcPr>
            <w:tcW w:w="597" w:type="pct"/>
            <w:tcBorders>
              <w:top w:val="nil"/>
              <w:left w:val="nil"/>
              <w:bottom w:val="nil"/>
              <w:right w:val="nil"/>
            </w:tcBorders>
            <w:vAlign w:val="bottom"/>
          </w:tcPr>
          <w:p w:rsidR="00540AC8" w:rsidRPr="00D35A8E" w:rsidRDefault="00540AC8" w:rsidP="00D35A8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35A8E">
              <w:t>5</w:t>
            </w:r>
            <w:r w:rsidR="00D35A8E" w:rsidRPr="00D35A8E">
              <w:t>23</w:t>
            </w:r>
            <w:r w:rsidRPr="00D35A8E">
              <w:t>,</w:t>
            </w:r>
            <w:r w:rsidR="00D35A8E" w:rsidRPr="00D35A8E">
              <w:t>658</w:t>
            </w:r>
          </w:p>
        </w:tc>
      </w:tr>
      <w:tr w:rsidR="00540AC8" w:rsidRPr="0053635E" w:rsidTr="00540AC8">
        <w:trPr>
          <w:cantSplit/>
          <w:jc w:val="center"/>
        </w:trPr>
        <w:tc>
          <w:tcPr>
            <w:tcW w:w="2010" w:type="pct"/>
            <w:tcBorders>
              <w:top w:val="nil"/>
              <w:left w:val="nil"/>
              <w:bottom w:val="nil"/>
              <w:right w:val="nil"/>
            </w:tcBorders>
          </w:tcPr>
          <w:p w:rsidR="00540AC8" w:rsidRPr="00D35A8E" w:rsidRDefault="00540AC8" w:rsidP="00A70203">
            <w:pPr>
              <w:widowControl/>
              <w:suppressAutoHyphens/>
              <w:spacing w:after="40"/>
              <w:ind w:left="200" w:hanging="200"/>
            </w:pPr>
            <w:r w:rsidRPr="00D35A8E">
              <w:rPr>
                <w:bCs/>
              </w:rPr>
              <w:t>Total liabilities and member’s interest</w:t>
            </w:r>
            <w:r w:rsidRPr="00D35A8E">
              <w:tab/>
            </w:r>
          </w:p>
        </w:tc>
        <w:tc>
          <w:tcPr>
            <w:tcW w:w="598" w:type="pct"/>
            <w:tcBorders>
              <w:top w:val="nil"/>
              <w:left w:val="nil"/>
              <w:bottom w:val="nil"/>
              <w:right w:val="nil"/>
            </w:tcBorders>
            <w:vAlign w:val="bottom"/>
          </w:tcPr>
          <w:p w:rsidR="00540AC8" w:rsidRPr="00E22A8A" w:rsidRDefault="00540AC8" w:rsidP="00E22A8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E22A8A">
              <w:t>$</w:t>
            </w:r>
            <w:r w:rsidR="00A70203" w:rsidRPr="00E22A8A">
              <w:t xml:space="preserve">      </w:t>
            </w:r>
            <w:r w:rsidRPr="00E22A8A">
              <w:t>8</w:t>
            </w:r>
            <w:r w:rsidR="00E22A8A" w:rsidRPr="00E22A8A">
              <w:t>36</w:t>
            </w:r>
            <w:r w:rsidRPr="00E22A8A">
              <w:t>,</w:t>
            </w:r>
            <w:r w:rsidR="00E22A8A" w:rsidRPr="00E22A8A">
              <w:t>125</w:t>
            </w:r>
          </w:p>
        </w:tc>
        <w:tc>
          <w:tcPr>
            <w:tcW w:w="598" w:type="pct"/>
            <w:tcBorders>
              <w:top w:val="nil"/>
              <w:left w:val="nil"/>
              <w:bottom w:val="nil"/>
              <w:right w:val="nil"/>
            </w:tcBorders>
            <w:vAlign w:val="bottom"/>
          </w:tcPr>
          <w:p w:rsidR="00540AC8" w:rsidRPr="00BA190A" w:rsidRDefault="00540AC8" w:rsidP="00BA190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BA190A">
              <w:t>$</w:t>
            </w:r>
            <w:r w:rsidR="00A70203" w:rsidRPr="00BA190A">
              <w:t xml:space="preserve">   </w:t>
            </w:r>
            <w:r w:rsidRPr="00BA190A">
              <w:t>1,</w:t>
            </w:r>
            <w:r w:rsidR="00BA190A" w:rsidRPr="00BA190A">
              <w:t>839</w:t>
            </w:r>
            <w:r w:rsidRPr="00BA190A">
              <w:t>,</w:t>
            </w:r>
            <w:r w:rsidR="00BA190A" w:rsidRPr="00BA190A">
              <w:t>884</w:t>
            </w:r>
          </w:p>
        </w:tc>
        <w:tc>
          <w:tcPr>
            <w:tcW w:w="598" w:type="pct"/>
            <w:tcBorders>
              <w:top w:val="nil"/>
              <w:left w:val="nil"/>
              <w:bottom w:val="nil"/>
              <w:right w:val="nil"/>
            </w:tcBorders>
            <w:vAlign w:val="bottom"/>
          </w:tcPr>
          <w:p w:rsidR="00540AC8" w:rsidRPr="00BA190A" w:rsidRDefault="00540AC8" w:rsidP="00BA190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BA190A">
              <w:t>$</w:t>
            </w:r>
            <w:r w:rsidR="00A70203" w:rsidRPr="00BA190A">
              <w:t xml:space="preserve">        </w:t>
            </w:r>
            <w:r w:rsidRPr="00BA190A">
              <w:t>1</w:t>
            </w:r>
            <w:r w:rsidR="00BA190A" w:rsidRPr="00BA190A">
              <w:t>5</w:t>
            </w:r>
            <w:r w:rsidRPr="00BA190A">
              <w:t>,</w:t>
            </w:r>
            <w:r w:rsidR="00BA190A" w:rsidRPr="00BA190A">
              <w:t>538</w:t>
            </w:r>
          </w:p>
        </w:tc>
        <w:tc>
          <w:tcPr>
            <w:tcW w:w="598" w:type="pct"/>
            <w:tcBorders>
              <w:top w:val="nil"/>
              <w:left w:val="nil"/>
              <w:bottom w:val="nil"/>
              <w:right w:val="nil"/>
            </w:tcBorders>
            <w:vAlign w:val="bottom"/>
          </w:tcPr>
          <w:p w:rsidR="00540AC8" w:rsidRPr="00D35A8E" w:rsidRDefault="00540AC8" w:rsidP="00D35A8E">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D35A8E">
              <w:t>$</w:t>
            </w:r>
            <w:r w:rsidR="00A70203" w:rsidRPr="00D35A8E">
              <w:t xml:space="preserve">   </w:t>
            </w:r>
            <w:r w:rsidRPr="00D35A8E">
              <w:t>(8</w:t>
            </w:r>
            <w:r w:rsidR="00D35A8E" w:rsidRPr="00D35A8E">
              <w:t>49</w:t>
            </w:r>
            <w:r w:rsidRPr="00D35A8E">
              <w:t>,</w:t>
            </w:r>
            <w:r w:rsidR="00D35A8E" w:rsidRPr="00D35A8E">
              <w:t>637</w:t>
            </w:r>
            <w:r w:rsidRPr="00D35A8E">
              <w:t>)</w:t>
            </w:r>
          </w:p>
        </w:tc>
        <w:tc>
          <w:tcPr>
            <w:tcW w:w="597" w:type="pct"/>
            <w:tcBorders>
              <w:top w:val="nil"/>
              <w:left w:val="nil"/>
              <w:bottom w:val="nil"/>
              <w:right w:val="nil"/>
            </w:tcBorders>
            <w:vAlign w:val="bottom"/>
          </w:tcPr>
          <w:p w:rsidR="00540AC8" w:rsidRPr="00D35A8E" w:rsidRDefault="00540AC8" w:rsidP="00D35A8E">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D35A8E">
              <w:t>$</w:t>
            </w:r>
            <w:r w:rsidR="00A70203" w:rsidRPr="00D35A8E">
              <w:t xml:space="preserve">   </w:t>
            </w:r>
            <w:r w:rsidRPr="00D35A8E">
              <w:t>1,</w:t>
            </w:r>
            <w:r w:rsidR="00D35A8E" w:rsidRPr="00D35A8E">
              <w:t>841</w:t>
            </w:r>
            <w:r w:rsidRPr="00D35A8E">
              <w:t>,</w:t>
            </w:r>
            <w:r w:rsidR="00D35A8E" w:rsidRPr="00D35A8E">
              <w:t>910</w:t>
            </w:r>
          </w:p>
        </w:tc>
      </w:tr>
    </w:tbl>
    <w:p w:rsidR="00266755" w:rsidRPr="0053635E" w:rsidRDefault="00266755" w:rsidP="00BD0633">
      <w:pPr>
        <w:keepNext/>
        <w:keepLines/>
        <w:widowControl/>
        <w:tabs>
          <w:tab w:val="left" w:pos="-720"/>
          <w:tab w:val="left" w:pos="720"/>
          <w:tab w:val="left" w:pos="1440"/>
        </w:tabs>
        <w:suppressAutoHyphens/>
        <w:spacing w:after="240"/>
        <w:rPr>
          <w:b/>
          <w:bCs/>
          <w:highlight w:val="yellow"/>
        </w:rPr>
      </w:pPr>
    </w:p>
    <w:p w:rsidR="00266755" w:rsidRPr="0053635E" w:rsidRDefault="00266755" w:rsidP="00BD0633">
      <w:pPr>
        <w:keepNext/>
        <w:keepLines/>
        <w:widowControl/>
        <w:tabs>
          <w:tab w:val="left" w:pos="-720"/>
          <w:tab w:val="left" w:pos="720"/>
          <w:tab w:val="left" w:pos="1440"/>
        </w:tabs>
        <w:suppressAutoHyphens/>
        <w:spacing w:after="240"/>
        <w:rPr>
          <w:b/>
          <w:bCs/>
          <w:highlight w:val="yellow"/>
        </w:rPr>
      </w:pPr>
    </w:p>
    <w:p w:rsidR="00CA14BE" w:rsidRDefault="00CA14BE" w:rsidP="00744A72">
      <w:pPr>
        <w:widowControl/>
        <w:tabs>
          <w:tab w:val="center" w:pos="5400"/>
        </w:tabs>
        <w:suppressAutoHyphens/>
        <w:spacing w:after="240"/>
        <w:jc w:val="center"/>
        <w:rPr>
          <w:b/>
          <w:bCs/>
          <w:highlight w:val="yellow"/>
        </w:rPr>
      </w:pPr>
    </w:p>
    <w:p w:rsidR="009F1E82" w:rsidRPr="0053635E" w:rsidRDefault="009F1E82" w:rsidP="00744A72">
      <w:pPr>
        <w:widowControl/>
        <w:tabs>
          <w:tab w:val="center" w:pos="5400"/>
        </w:tabs>
        <w:suppressAutoHyphens/>
        <w:spacing w:after="240"/>
        <w:jc w:val="center"/>
        <w:rPr>
          <w:b/>
          <w:bCs/>
          <w:highlight w:val="yellow"/>
        </w:rPr>
      </w:pPr>
    </w:p>
    <w:p w:rsidR="00B330B2" w:rsidRPr="009F1E82" w:rsidRDefault="009F1E82" w:rsidP="00BD0633">
      <w:pPr>
        <w:keepNext/>
        <w:keepLines/>
        <w:widowControl/>
        <w:tabs>
          <w:tab w:val="left" w:pos="720"/>
          <w:tab w:val="left" w:pos="1440"/>
          <w:tab w:val="center" w:pos="5400"/>
        </w:tabs>
        <w:suppressAutoHyphens/>
        <w:rPr>
          <w:b/>
          <w:sz w:val="22"/>
        </w:rPr>
      </w:pPr>
      <w:r w:rsidRPr="009F1E82">
        <w:rPr>
          <w:b/>
          <w:sz w:val="22"/>
        </w:rPr>
        <w:lastRenderedPageBreak/>
        <w:t>14.  Guarantor Financial Information (continued)</w:t>
      </w:r>
    </w:p>
    <w:p w:rsidR="00B71C04" w:rsidRPr="0053635E" w:rsidRDefault="00B71C04" w:rsidP="00BD0633">
      <w:pPr>
        <w:keepNext/>
        <w:keepLines/>
        <w:widowControl/>
        <w:tabs>
          <w:tab w:val="left" w:pos="720"/>
          <w:tab w:val="left" w:pos="1440"/>
          <w:tab w:val="center" w:pos="5400"/>
        </w:tabs>
        <w:suppressAutoHyphens/>
        <w:rPr>
          <w:highlight w:val="yellow"/>
        </w:rPr>
      </w:pPr>
    </w:p>
    <w:p w:rsidR="00BD0633" w:rsidRPr="00B71C04" w:rsidRDefault="00BD0633" w:rsidP="00BD0633">
      <w:pPr>
        <w:keepNext/>
        <w:keepLines/>
        <w:widowControl/>
        <w:tabs>
          <w:tab w:val="left" w:pos="720"/>
          <w:tab w:val="left" w:pos="1440"/>
          <w:tab w:val="center" w:pos="5400"/>
        </w:tabs>
        <w:suppressAutoHyphens/>
        <w:rPr>
          <w:b/>
          <w:bCs/>
          <w:sz w:val="22"/>
        </w:rPr>
      </w:pPr>
    </w:p>
    <w:p w:rsidR="00BD0633" w:rsidRPr="008C3088" w:rsidRDefault="00BD0633" w:rsidP="009F1E82">
      <w:pPr>
        <w:keepNext/>
        <w:keepLines/>
        <w:widowControl/>
        <w:tabs>
          <w:tab w:val="left" w:pos="720"/>
          <w:tab w:val="left" w:pos="1440"/>
          <w:tab w:val="center" w:pos="5400"/>
        </w:tabs>
        <w:suppressAutoHyphens/>
      </w:pPr>
    </w:p>
    <w:p w:rsidR="00744A72" w:rsidRPr="008C3088" w:rsidRDefault="001A3602" w:rsidP="00744A72">
      <w:pPr>
        <w:keepNext/>
        <w:keepLines/>
        <w:widowControl/>
        <w:tabs>
          <w:tab w:val="left" w:pos="720"/>
          <w:tab w:val="left" w:pos="1440"/>
          <w:tab w:val="center" w:pos="5400"/>
        </w:tabs>
        <w:suppressAutoHyphens/>
        <w:jc w:val="center"/>
        <w:rPr>
          <w:b/>
          <w:bCs/>
        </w:rPr>
      </w:pPr>
      <w:r w:rsidRPr="008C3088">
        <w:rPr>
          <w:b/>
          <w:bCs/>
        </w:rPr>
        <w:t>T</w:t>
      </w:r>
      <w:r w:rsidR="00744A72" w:rsidRPr="008C3088">
        <w:rPr>
          <w:b/>
          <w:bCs/>
        </w:rPr>
        <w:t>RAC Intermodal LLC</w:t>
      </w:r>
    </w:p>
    <w:p w:rsidR="00744A72" w:rsidRPr="008C3088" w:rsidRDefault="00744A72" w:rsidP="00744A72">
      <w:pPr>
        <w:widowControl/>
        <w:tabs>
          <w:tab w:val="center" w:pos="5400"/>
        </w:tabs>
        <w:suppressAutoHyphens/>
        <w:jc w:val="center"/>
        <w:rPr>
          <w:b/>
          <w:bCs/>
        </w:rPr>
      </w:pPr>
      <w:r w:rsidRPr="008C3088">
        <w:rPr>
          <w:b/>
          <w:bCs/>
        </w:rPr>
        <w:t>Condensed Consolidating Statements of Operations</w:t>
      </w:r>
    </w:p>
    <w:p w:rsidR="00744A72" w:rsidRPr="008C3088" w:rsidRDefault="00744A72" w:rsidP="00744A72">
      <w:pPr>
        <w:widowControl/>
        <w:tabs>
          <w:tab w:val="center" w:pos="5400"/>
        </w:tabs>
        <w:suppressAutoHyphens/>
        <w:jc w:val="center"/>
        <w:rPr>
          <w:b/>
          <w:bCs/>
        </w:rPr>
      </w:pPr>
      <w:r w:rsidRPr="008C3088">
        <w:rPr>
          <w:b/>
          <w:bCs/>
        </w:rPr>
        <w:t>and Comprehensive Income</w:t>
      </w:r>
    </w:p>
    <w:p w:rsidR="00CA14BE" w:rsidRPr="008C3088" w:rsidRDefault="00744A72" w:rsidP="00744A72">
      <w:pPr>
        <w:widowControl/>
        <w:tabs>
          <w:tab w:val="center" w:pos="5400"/>
        </w:tabs>
        <w:suppressAutoHyphens/>
        <w:spacing w:after="240"/>
        <w:jc w:val="center"/>
        <w:rPr>
          <w:b/>
          <w:bCs/>
        </w:rPr>
      </w:pPr>
      <w:r w:rsidRPr="008C3088">
        <w:rPr>
          <w:b/>
          <w:bCs/>
        </w:rPr>
        <w:t xml:space="preserve">For The </w:t>
      </w:r>
      <w:r w:rsidR="003C20D1" w:rsidRPr="008C3088">
        <w:rPr>
          <w:b/>
          <w:bCs/>
        </w:rPr>
        <w:t>Three Months</w:t>
      </w:r>
      <w:r w:rsidRPr="008C3088">
        <w:rPr>
          <w:b/>
          <w:bCs/>
        </w:rPr>
        <w:t xml:space="preserve"> Ended </w:t>
      </w:r>
      <w:r w:rsidR="008C3088" w:rsidRPr="008C3088">
        <w:rPr>
          <w:b/>
          <w:bCs/>
        </w:rPr>
        <w:t>March</w:t>
      </w:r>
      <w:r w:rsidRPr="008C3088">
        <w:rPr>
          <w:b/>
          <w:bCs/>
        </w:rPr>
        <w:t> 3</w:t>
      </w:r>
      <w:r w:rsidR="008C3088" w:rsidRPr="008C3088">
        <w:rPr>
          <w:b/>
          <w:bCs/>
        </w:rPr>
        <w:t>1</w:t>
      </w:r>
      <w:r w:rsidRPr="008C3088">
        <w:rPr>
          <w:b/>
          <w:bCs/>
        </w:rPr>
        <w:t>, 201</w:t>
      </w:r>
      <w:r w:rsidR="008C3088" w:rsidRPr="008C3088">
        <w:rPr>
          <w:b/>
          <w:bCs/>
        </w:rPr>
        <w:t>3</w:t>
      </w:r>
    </w:p>
    <w:tbl>
      <w:tblPr>
        <w:tblW w:w="5000" w:type="pct"/>
        <w:jc w:val="center"/>
        <w:tblCellMar>
          <w:left w:w="72" w:type="dxa"/>
          <w:right w:w="72" w:type="dxa"/>
        </w:tblCellMar>
        <w:tblLook w:val="0000" w:firstRow="0" w:lastRow="0" w:firstColumn="0" w:lastColumn="0" w:noHBand="0" w:noVBand="0"/>
      </w:tblPr>
      <w:tblGrid>
        <w:gridCol w:w="4007"/>
        <w:gridCol w:w="1243"/>
        <w:gridCol w:w="1243"/>
        <w:gridCol w:w="1245"/>
        <w:gridCol w:w="1245"/>
        <w:gridCol w:w="1241"/>
      </w:tblGrid>
      <w:tr w:rsidR="00334773" w:rsidRPr="0053635E" w:rsidTr="00386317">
        <w:trPr>
          <w:cantSplit/>
          <w:jc w:val="center"/>
        </w:trPr>
        <w:tc>
          <w:tcPr>
            <w:tcW w:w="1959" w:type="pct"/>
            <w:tcBorders>
              <w:top w:val="nil"/>
              <w:left w:val="nil"/>
              <w:bottom w:val="nil"/>
              <w:right w:val="nil"/>
            </w:tcBorders>
            <w:vAlign w:val="bottom"/>
          </w:tcPr>
          <w:p w:rsidR="00CA14BE" w:rsidRPr="008C3088"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p>
        </w:tc>
        <w:tc>
          <w:tcPr>
            <w:tcW w:w="608" w:type="pct"/>
            <w:tcBorders>
              <w:top w:val="nil"/>
              <w:left w:val="nil"/>
              <w:bottom w:val="nil"/>
              <w:right w:val="nil"/>
            </w:tcBorders>
            <w:vAlign w:val="bottom"/>
          </w:tcPr>
          <w:p w:rsidR="00CA14BE" w:rsidRPr="008C3088" w:rsidRDefault="00E25893"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8C3088">
              <w:rPr>
                <w:b/>
                <w:bCs/>
                <w:sz w:val="16"/>
                <w:szCs w:val="18"/>
              </w:rPr>
              <w:t>Company</w:t>
            </w:r>
            <w:r w:rsidR="00744A72" w:rsidRPr="008C3088">
              <w:rPr>
                <w:b/>
                <w:bCs/>
                <w:sz w:val="16"/>
                <w:szCs w:val="18"/>
              </w:rPr>
              <w:br/>
            </w:r>
            <w:r w:rsidR="00CA14BE" w:rsidRPr="008C3088">
              <w:rPr>
                <w:b/>
                <w:bCs/>
                <w:sz w:val="16"/>
                <w:szCs w:val="18"/>
              </w:rPr>
              <w:t>Parent</w:t>
            </w:r>
          </w:p>
        </w:tc>
        <w:tc>
          <w:tcPr>
            <w:tcW w:w="608" w:type="pct"/>
            <w:tcBorders>
              <w:top w:val="nil"/>
              <w:left w:val="nil"/>
              <w:bottom w:val="nil"/>
              <w:right w:val="nil"/>
            </w:tcBorders>
            <w:vAlign w:val="bottom"/>
          </w:tcPr>
          <w:p w:rsidR="00CA14BE" w:rsidRPr="008C3088"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8C3088">
              <w:rPr>
                <w:b/>
                <w:bCs/>
                <w:sz w:val="16"/>
                <w:szCs w:val="18"/>
              </w:rPr>
              <w:t>Guarantor</w:t>
            </w:r>
            <w:r w:rsidR="00744A72" w:rsidRPr="008C3088">
              <w:rPr>
                <w:b/>
                <w:bCs/>
                <w:sz w:val="16"/>
                <w:szCs w:val="18"/>
              </w:rPr>
              <w:br/>
            </w:r>
            <w:r w:rsidRPr="008C3088">
              <w:rPr>
                <w:b/>
                <w:bCs/>
                <w:sz w:val="16"/>
                <w:szCs w:val="18"/>
              </w:rPr>
              <w:t>Subsidiaries</w:t>
            </w:r>
          </w:p>
        </w:tc>
        <w:tc>
          <w:tcPr>
            <w:tcW w:w="609" w:type="pct"/>
            <w:tcBorders>
              <w:top w:val="nil"/>
              <w:left w:val="nil"/>
              <w:bottom w:val="nil"/>
              <w:right w:val="nil"/>
            </w:tcBorders>
            <w:vAlign w:val="bottom"/>
          </w:tcPr>
          <w:p w:rsidR="00CA14BE" w:rsidRPr="008C3088"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8C3088">
              <w:rPr>
                <w:b/>
                <w:bCs/>
                <w:sz w:val="16"/>
                <w:szCs w:val="18"/>
              </w:rPr>
              <w:t>Non</w:t>
            </w:r>
            <w:r w:rsidR="00744A72" w:rsidRPr="008C3088">
              <w:rPr>
                <w:b/>
                <w:bCs/>
                <w:sz w:val="16"/>
                <w:szCs w:val="18"/>
              </w:rPr>
              <w:t>-</w:t>
            </w:r>
            <w:r w:rsidRPr="008C3088">
              <w:rPr>
                <w:b/>
                <w:bCs/>
                <w:sz w:val="16"/>
                <w:szCs w:val="18"/>
              </w:rPr>
              <w:t>Guarantor</w:t>
            </w:r>
            <w:r w:rsidR="00744A72" w:rsidRPr="008C3088">
              <w:rPr>
                <w:b/>
                <w:bCs/>
                <w:sz w:val="16"/>
                <w:szCs w:val="18"/>
              </w:rPr>
              <w:br/>
            </w:r>
            <w:r w:rsidRPr="008C3088">
              <w:rPr>
                <w:b/>
                <w:bCs/>
                <w:sz w:val="16"/>
                <w:szCs w:val="18"/>
              </w:rPr>
              <w:t>Subsidiaries</w:t>
            </w:r>
          </w:p>
        </w:tc>
        <w:tc>
          <w:tcPr>
            <w:tcW w:w="609" w:type="pct"/>
            <w:tcBorders>
              <w:top w:val="nil"/>
              <w:left w:val="nil"/>
              <w:bottom w:val="nil"/>
              <w:right w:val="nil"/>
            </w:tcBorders>
            <w:vAlign w:val="bottom"/>
          </w:tcPr>
          <w:p w:rsidR="00CA14BE" w:rsidRPr="008C3088"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8C3088">
              <w:rPr>
                <w:b/>
                <w:bCs/>
                <w:sz w:val="16"/>
                <w:szCs w:val="18"/>
              </w:rPr>
              <w:t>Eliminations</w:t>
            </w:r>
          </w:p>
        </w:tc>
        <w:tc>
          <w:tcPr>
            <w:tcW w:w="608" w:type="pct"/>
            <w:tcBorders>
              <w:top w:val="nil"/>
              <w:left w:val="nil"/>
              <w:bottom w:val="nil"/>
              <w:right w:val="nil"/>
            </w:tcBorders>
            <w:vAlign w:val="bottom"/>
          </w:tcPr>
          <w:p w:rsidR="00CA14BE" w:rsidRPr="008C3088" w:rsidRDefault="00CA14BE"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8C3088">
              <w:rPr>
                <w:b/>
                <w:bCs/>
                <w:sz w:val="16"/>
                <w:szCs w:val="18"/>
              </w:rPr>
              <w:t>Consolidated</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ind w:left="200" w:hanging="200"/>
            </w:pPr>
            <w:r w:rsidRPr="000164FB">
              <w:rPr>
                <w:b/>
                <w:bCs/>
              </w:rPr>
              <w:t xml:space="preserve">Total </w:t>
            </w:r>
            <w:r w:rsidR="00CE44AA" w:rsidRPr="000164FB">
              <w:rPr>
                <w:b/>
                <w:bCs/>
              </w:rPr>
              <w:t>r</w:t>
            </w:r>
            <w:r w:rsidRPr="000164FB">
              <w:rPr>
                <w:b/>
                <w:bCs/>
              </w:rPr>
              <w:t>evenue</w:t>
            </w:r>
            <w:r w:rsidRPr="000164FB">
              <w:tab/>
            </w:r>
          </w:p>
        </w:tc>
        <w:tc>
          <w:tcPr>
            <w:tcW w:w="608" w:type="pct"/>
            <w:tcBorders>
              <w:top w:val="nil"/>
              <w:left w:val="nil"/>
              <w:bottom w:val="nil"/>
              <w:right w:val="nil"/>
            </w:tcBorders>
            <w:vAlign w:val="bottom"/>
          </w:tcPr>
          <w:p w:rsidR="00CA14BE" w:rsidRPr="00DB3063"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w:t>
            </w:r>
            <w:r w:rsidR="00257904" w:rsidRPr="00DB3063">
              <w:t xml:space="preserve">               </w:t>
            </w:r>
            <w:r w:rsidR="00744A72" w:rsidRPr="00DB3063">
              <w:t>—</w:t>
            </w:r>
          </w:p>
        </w:tc>
        <w:tc>
          <w:tcPr>
            <w:tcW w:w="608" w:type="pct"/>
            <w:tcBorders>
              <w:top w:val="nil"/>
              <w:left w:val="nil"/>
              <w:bottom w:val="nil"/>
              <w:right w:val="nil"/>
            </w:tcBorders>
            <w:vAlign w:val="bottom"/>
          </w:tcPr>
          <w:p w:rsidR="00CA14BE" w:rsidRPr="00386317" w:rsidRDefault="00CA14BE"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r w:rsidR="00257904" w:rsidRPr="00386317">
              <w:t xml:space="preserve">  </w:t>
            </w:r>
            <w:r w:rsidR="00084DC4" w:rsidRPr="00386317">
              <w:t xml:space="preserve">  </w:t>
            </w:r>
            <w:r w:rsidR="007B35DC" w:rsidRPr="00386317">
              <w:t xml:space="preserve">  1</w:t>
            </w:r>
            <w:r w:rsidR="00DB3063" w:rsidRPr="00386317">
              <w:t>17</w:t>
            </w:r>
            <w:r w:rsidR="00334773" w:rsidRPr="00386317">
              <w:t>,</w:t>
            </w:r>
            <w:r w:rsidR="00DB3063" w:rsidRPr="00386317">
              <w:t>191</w:t>
            </w:r>
          </w:p>
        </w:tc>
        <w:tc>
          <w:tcPr>
            <w:tcW w:w="609" w:type="pct"/>
            <w:tcBorders>
              <w:top w:val="nil"/>
              <w:left w:val="nil"/>
              <w:bottom w:val="nil"/>
              <w:right w:val="nil"/>
            </w:tcBorders>
            <w:vAlign w:val="bottom"/>
          </w:tcPr>
          <w:p w:rsidR="00CA14BE" w:rsidRPr="00386317" w:rsidRDefault="00CA14BE"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r w:rsidR="00257904" w:rsidRPr="00386317">
              <w:t xml:space="preserve">              </w:t>
            </w:r>
            <w:r w:rsidR="00386317" w:rsidRPr="00386317">
              <w:t>791</w:t>
            </w:r>
          </w:p>
        </w:tc>
        <w:tc>
          <w:tcPr>
            <w:tcW w:w="609" w:type="pct"/>
            <w:tcBorders>
              <w:top w:val="nil"/>
              <w:left w:val="nil"/>
              <w:bottom w:val="nil"/>
              <w:right w:val="nil"/>
            </w:tcBorders>
            <w:vAlign w:val="bottom"/>
          </w:tcPr>
          <w:p w:rsidR="00CA14BE" w:rsidRPr="00386317" w:rsidRDefault="00CA14BE"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r w:rsidR="00257904" w:rsidRPr="00386317">
              <w:t xml:space="preserve">             </w:t>
            </w:r>
            <w:r w:rsidRPr="00386317">
              <w:t>(</w:t>
            </w:r>
            <w:r w:rsidR="009B1E3E" w:rsidRPr="00386317">
              <w:t>8</w:t>
            </w:r>
            <w:r w:rsidR="00386317" w:rsidRPr="00386317">
              <w:t>3</w:t>
            </w:r>
            <w:r w:rsidRPr="00386317">
              <w:t>)</w:t>
            </w:r>
          </w:p>
        </w:tc>
        <w:tc>
          <w:tcPr>
            <w:tcW w:w="608" w:type="pct"/>
            <w:tcBorders>
              <w:top w:val="nil"/>
              <w:left w:val="nil"/>
              <w:bottom w:val="nil"/>
              <w:right w:val="nil"/>
            </w:tcBorders>
            <w:vAlign w:val="bottom"/>
          </w:tcPr>
          <w:p w:rsidR="00CA14BE" w:rsidRPr="000164FB" w:rsidRDefault="00CA14BE"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w:t>
            </w:r>
            <w:r w:rsidR="00257904" w:rsidRPr="000164FB">
              <w:t xml:space="preserve">      </w:t>
            </w:r>
            <w:r w:rsidR="005F4DB5" w:rsidRPr="000164FB">
              <w:t>1</w:t>
            </w:r>
            <w:r w:rsidR="00386317" w:rsidRPr="000164FB">
              <w:t>17</w:t>
            </w:r>
            <w:r w:rsidR="00334773" w:rsidRPr="000164FB">
              <w:t>,</w:t>
            </w:r>
            <w:r w:rsidR="00386317" w:rsidRPr="000164FB">
              <w:t>899</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ind w:left="200" w:hanging="200"/>
            </w:pPr>
            <w:r w:rsidRPr="000164FB">
              <w:t>Direct operating expenses</w:t>
            </w:r>
            <w:r w:rsidRPr="000164FB">
              <w:tab/>
            </w:r>
          </w:p>
        </w:tc>
        <w:tc>
          <w:tcPr>
            <w:tcW w:w="608" w:type="pct"/>
            <w:tcBorders>
              <w:top w:val="nil"/>
              <w:left w:val="nil"/>
              <w:bottom w:val="nil"/>
              <w:right w:val="nil"/>
            </w:tcBorders>
            <w:vAlign w:val="bottom"/>
          </w:tcPr>
          <w:p w:rsidR="00CA14BE" w:rsidRPr="00DB3063"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w:t>
            </w:r>
          </w:p>
        </w:tc>
        <w:tc>
          <w:tcPr>
            <w:tcW w:w="608" w:type="pct"/>
            <w:tcBorders>
              <w:top w:val="nil"/>
              <w:left w:val="nil"/>
              <w:bottom w:val="nil"/>
              <w:right w:val="nil"/>
            </w:tcBorders>
            <w:vAlign w:val="bottom"/>
          </w:tcPr>
          <w:p w:rsidR="00CA14BE" w:rsidRPr="00386317" w:rsidRDefault="007B35DC"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6</w:t>
            </w:r>
            <w:r w:rsidR="006364D1" w:rsidRPr="00386317">
              <w:t>0</w:t>
            </w:r>
            <w:r w:rsidR="00334773" w:rsidRPr="00386317">
              <w:t>,</w:t>
            </w:r>
            <w:r w:rsidR="00DB3063" w:rsidRPr="00386317">
              <w:t>992</w:t>
            </w:r>
          </w:p>
        </w:tc>
        <w:tc>
          <w:tcPr>
            <w:tcW w:w="609" w:type="pct"/>
            <w:tcBorders>
              <w:top w:val="nil"/>
              <w:left w:val="nil"/>
              <w:bottom w:val="nil"/>
              <w:right w:val="nil"/>
            </w:tcBorders>
            <w:vAlign w:val="bottom"/>
          </w:tcPr>
          <w:p w:rsidR="00CA14BE" w:rsidRPr="00386317" w:rsidRDefault="009B1E3E"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1</w:t>
            </w:r>
            <w:r w:rsidR="00386317" w:rsidRPr="00386317">
              <w:t>1</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8" w:type="pct"/>
            <w:tcBorders>
              <w:top w:val="nil"/>
              <w:left w:val="nil"/>
              <w:bottom w:val="nil"/>
              <w:right w:val="nil"/>
            </w:tcBorders>
            <w:vAlign w:val="bottom"/>
          </w:tcPr>
          <w:p w:rsidR="00CA14BE" w:rsidRPr="000164FB" w:rsidRDefault="005F4DB5"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6</w:t>
            </w:r>
            <w:r w:rsidR="00386317" w:rsidRPr="000164FB">
              <w:t>1</w:t>
            </w:r>
            <w:r w:rsidR="00CA14BE" w:rsidRPr="000164FB">
              <w:t>,</w:t>
            </w:r>
            <w:r w:rsidR="00386317" w:rsidRPr="000164FB">
              <w:t>003</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ind w:left="200" w:hanging="200"/>
            </w:pPr>
            <w:r w:rsidRPr="000164FB">
              <w:t>Selling, general and administrative expenses</w:t>
            </w:r>
            <w:r w:rsidRPr="000164FB">
              <w:tab/>
            </w:r>
          </w:p>
        </w:tc>
        <w:tc>
          <w:tcPr>
            <w:tcW w:w="608" w:type="pct"/>
            <w:tcBorders>
              <w:top w:val="nil"/>
              <w:left w:val="nil"/>
              <w:bottom w:val="nil"/>
              <w:right w:val="nil"/>
            </w:tcBorders>
            <w:vAlign w:val="bottom"/>
          </w:tcPr>
          <w:p w:rsidR="00CA14BE" w:rsidRPr="00DB3063"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w:t>
            </w:r>
          </w:p>
        </w:tc>
        <w:tc>
          <w:tcPr>
            <w:tcW w:w="608" w:type="pct"/>
            <w:tcBorders>
              <w:top w:val="nil"/>
              <w:left w:val="nil"/>
              <w:bottom w:val="nil"/>
              <w:right w:val="nil"/>
            </w:tcBorders>
            <w:vAlign w:val="bottom"/>
          </w:tcPr>
          <w:p w:rsidR="00CA14BE" w:rsidRPr="00386317" w:rsidRDefault="00334773"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1</w:t>
            </w:r>
            <w:r w:rsidR="00DB3063" w:rsidRPr="00386317">
              <w:t>3</w:t>
            </w:r>
            <w:r w:rsidR="00CA14BE" w:rsidRPr="00386317">
              <w:t>,</w:t>
            </w:r>
            <w:r w:rsidR="00DB3063" w:rsidRPr="00386317">
              <w:t>271</w:t>
            </w:r>
          </w:p>
        </w:tc>
        <w:tc>
          <w:tcPr>
            <w:tcW w:w="609" w:type="pct"/>
            <w:tcBorders>
              <w:top w:val="nil"/>
              <w:left w:val="nil"/>
              <w:bottom w:val="nil"/>
              <w:right w:val="nil"/>
            </w:tcBorders>
            <w:vAlign w:val="bottom"/>
          </w:tcPr>
          <w:p w:rsidR="00CA14BE" w:rsidRPr="00386317" w:rsidRDefault="00386317"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243</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8" w:type="pct"/>
            <w:tcBorders>
              <w:top w:val="nil"/>
              <w:left w:val="nil"/>
              <w:bottom w:val="nil"/>
              <w:right w:val="nil"/>
            </w:tcBorders>
            <w:vAlign w:val="bottom"/>
          </w:tcPr>
          <w:p w:rsidR="00CA14BE" w:rsidRPr="000164FB" w:rsidRDefault="00334773"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1</w:t>
            </w:r>
            <w:r w:rsidR="00386317" w:rsidRPr="000164FB">
              <w:t>3</w:t>
            </w:r>
            <w:r w:rsidR="00CA14BE" w:rsidRPr="000164FB">
              <w:t>,</w:t>
            </w:r>
            <w:r w:rsidR="00386317" w:rsidRPr="000164FB">
              <w:t>514</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ind w:left="200" w:hanging="200"/>
            </w:pPr>
            <w:r w:rsidRPr="000164FB">
              <w:t>Depreciation expense</w:t>
            </w:r>
            <w:r w:rsidRPr="000164FB">
              <w:tab/>
            </w:r>
          </w:p>
        </w:tc>
        <w:tc>
          <w:tcPr>
            <w:tcW w:w="608" w:type="pct"/>
            <w:tcBorders>
              <w:top w:val="nil"/>
              <w:left w:val="nil"/>
              <w:bottom w:val="nil"/>
              <w:right w:val="nil"/>
            </w:tcBorders>
            <w:vAlign w:val="bottom"/>
          </w:tcPr>
          <w:p w:rsidR="00CA14BE" w:rsidRPr="00DB3063"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w:t>
            </w:r>
          </w:p>
        </w:tc>
        <w:tc>
          <w:tcPr>
            <w:tcW w:w="608" w:type="pct"/>
            <w:tcBorders>
              <w:top w:val="nil"/>
              <w:left w:val="nil"/>
              <w:bottom w:val="nil"/>
              <w:right w:val="nil"/>
            </w:tcBorders>
            <w:vAlign w:val="bottom"/>
          </w:tcPr>
          <w:p w:rsidR="00CA14BE" w:rsidRPr="00386317" w:rsidRDefault="00334773"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1</w:t>
            </w:r>
            <w:r w:rsidR="00DB3063" w:rsidRPr="00386317">
              <w:t>7</w:t>
            </w:r>
            <w:r w:rsidRPr="00386317">
              <w:t>,</w:t>
            </w:r>
            <w:r w:rsidR="00DB3063" w:rsidRPr="00386317">
              <w:t>105</w:t>
            </w:r>
          </w:p>
        </w:tc>
        <w:tc>
          <w:tcPr>
            <w:tcW w:w="609" w:type="pct"/>
            <w:tcBorders>
              <w:top w:val="nil"/>
              <w:left w:val="nil"/>
              <w:bottom w:val="nil"/>
              <w:right w:val="nil"/>
            </w:tcBorders>
            <w:vAlign w:val="bottom"/>
          </w:tcPr>
          <w:p w:rsidR="00CA14BE" w:rsidRPr="00386317" w:rsidRDefault="00334773"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1</w:t>
            </w:r>
            <w:r w:rsidR="00386317" w:rsidRPr="00386317">
              <w:t>69</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8" w:type="pct"/>
            <w:tcBorders>
              <w:top w:val="nil"/>
              <w:left w:val="nil"/>
              <w:bottom w:val="nil"/>
              <w:right w:val="nil"/>
            </w:tcBorders>
            <w:vAlign w:val="bottom"/>
          </w:tcPr>
          <w:p w:rsidR="00CA14BE" w:rsidRPr="000164FB" w:rsidRDefault="00334773"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1</w:t>
            </w:r>
            <w:r w:rsidR="00386317" w:rsidRPr="000164FB">
              <w:t>7</w:t>
            </w:r>
            <w:r w:rsidR="00CA14BE" w:rsidRPr="000164FB">
              <w:t>,</w:t>
            </w:r>
            <w:r w:rsidR="00386317" w:rsidRPr="000164FB">
              <w:t>274</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ind w:left="200" w:hanging="200"/>
            </w:pPr>
            <w:r w:rsidRPr="000164FB">
              <w:t>Provision for doubtful accounts</w:t>
            </w:r>
            <w:r w:rsidRPr="000164FB">
              <w:tab/>
            </w:r>
          </w:p>
        </w:tc>
        <w:tc>
          <w:tcPr>
            <w:tcW w:w="608" w:type="pct"/>
            <w:tcBorders>
              <w:top w:val="nil"/>
              <w:left w:val="nil"/>
              <w:bottom w:val="nil"/>
              <w:right w:val="nil"/>
            </w:tcBorders>
            <w:vAlign w:val="bottom"/>
          </w:tcPr>
          <w:p w:rsidR="00CA14BE" w:rsidRPr="00DB3063"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w:t>
            </w:r>
          </w:p>
        </w:tc>
        <w:tc>
          <w:tcPr>
            <w:tcW w:w="608" w:type="pct"/>
            <w:tcBorders>
              <w:top w:val="nil"/>
              <w:left w:val="nil"/>
              <w:bottom w:val="nil"/>
              <w:right w:val="nil"/>
            </w:tcBorders>
            <w:vAlign w:val="bottom"/>
          </w:tcPr>
          <w:p w:rsidR="00CA14BE" w:rsidRPr="00386317" w:rsidRDefault="00DB3063"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2,156</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8" w:type="pct"/>
            <w:tcBorders>
              <w:top w:val="nil"/>
              <w:left w:val="nil"/>
              <w:bottom w:val="nil"/>
              <w:right w:val="nil"/>
            </w:tcBorders>
            <w:vAlign w:val="bottom"/>
          </w:tcPr>
          <w:p w:rsidR="00CA14BE" w:rsidRPr="000164FB" w:rsidRDefault="000164FB" w:rsidP="000164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2,156</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ind w:left="200" w:hanging="200"/>
            </w:pPr>
            <w:r w:rsidRPr="000164FB">
              <w:t>Impairment of leasing equipment</w:t>
            </w:r>
            <w:r w:rsidRPr="000164FB">
              <w:tab/>
            </w:r>
          </w:p>
        </w:tc>
        <w:tc>
          <w:tcPr>
            <w:tcW w:w="608" w:type="pct"/>
            <w:tcBorders>
              <w:top w:val="nil"/>
              <w:left w:val="nil"/>
              <w:bottom w:val="nil"/>
              <w:right w:val="nil"/>
            </w:tcBorders>
            <w:vAlign w:val="bottom"/>
          </w:tcPr>
          <w:p w:rsidR="00CA14BE" w:rsidRPr="00DB3063"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w:t>
            </w:r>
          </w:p>
        </w:tc>
        <w:tc>
          <w:tcPr>
            <w:tcW w:w="608" w:type="pct"/>
            <w:tcBorders>
              <w:top w:val="nil"/>
              <w:left w:val="nil"/>
              <w:bottom w:val="nil"/>
              <w:right w:val="nil"/>
            </w:tcBorders>
            <w:vAlign w:val="bottom"/>
          </w:tcPr>
          <w:p w:rsidR="00CA14BE" w:rsidRPr="00386317" w:rsidRDefault="00DB3063"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2</w:t>
            </w:r>
            <w:r w:rsidR="007B35DC" w:rsidRPr="00386317">
              <w:t>,</w:t>
            </w:r>
            <w:r w:rsidRPr="00386317">
              <w:t>133</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8" w:type="pct"/>
            <w:tcBorders>
              <w:top w:val="nil"/>
              <w:left w:val="nil"/>
              <w:bottom w:val="nil"/>
              <w:right w:val="nil"/>
            </w:tcBorders>
            <w:vAlign w:val="bottom"/>
          </w:tcPr>
          <w:p w:rsidR="00CA14BE" w:rsidRPr="000164FB" w:rsidRDefault="000164FB" w:rsidP="000164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2</w:t>
            </w:r>
            <w:r w:rsidR="005F4DB5" w:rsidRPr="000164FB">
              <w:t>,</w:t>
            </w:r>
            <w:r w:rsidRPr="000164FB">
              <w:t>133</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9D1529">
            <w:pPr>
              <w:widowControl/>
              <w:suppressAutoHyphens/>
              <w:ind w:left="200" w:hanging="200"/>
            </w:pPr>
            <w:r w:rsidRPr="000164FB">
              <w:t xml:space="preserve">Loss on </w:t>
            </w:r>
            <w:r w:rsidR="00386317" w:rsidRPr="000164FB">
              <w:t>modification and extinguishment of debt and capital lease obligations</w:t>
            </w:r>
            <w:r w:rsidRPr="000164FB">
              <w:tab/>
            </w:r>
          </w:p>
        </w:tc>
        <w:tc>
          <w:tcPr>
            <w:tcW w:w="608" w:type="pct"/>
            <w:tcBorders>
              <w:top w:val="nil"/>
              <w:left w:val="nil"/>
              <w:bottom w:val="nil"/>
              <w:right w:val="nil"/>
            </w:tcBorders>
            <w:vAlign w:val="bottom"/>
          </w:tcPr>
          <w:p w:rsidR="00CA14BE" w:rsidRPr="00DB3063"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w:t>
            </w:r>
          </w:p>
        </w:tc>
        <w:tc>
          <w:tcPr>
            <w:tcW w:w="608" w:type="pct"/>
            <w:tcBorders>
              <w:top w:val="nil"/>
              <w:left w:val="nil"/>
              <w:bottom w:val="nil"/>
              <w:right w:val="nil"/>
            </w:tcBorders>
            <w:vAlign w:val="bottom"/>
          </w:tcPr>
          <w:p w:rsidR="00CA14BE" w:rsidRPr="00386317" w:rsidRDefault="00DB3063"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647</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8" w:type="pct"/>
            <w:tcBorders>
              <w:top w:val="nil"/>
              <w:left w:val="nil"/>
              <w:bottom w:val="nil"/>
              <w:right w:val="nil"/>
            </w:tcBorders>
            <w:vAlign w:val="bottom"/>
          </w:tcPr>
          <w:p w:rsidR="00CA14BE" w:rsidRPr="000164FB" w:rsidRDefault="000164FB" w:rsidP="000164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647</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ind w:left="200" w:hanging="200"/>
            </w:pPr>
            <w:r w:rsidRPr="000164FB">
              <w:t>Interest expense</w:t>
            </w:r>
            <w:r w:rsidRPr="000164FB">
              <w:tab/>
            </w:r>
          </w:p>
        </w:tc>
        <w:tc>
          <w:tcPr>
            <w:tcW w:w="608" w:type="pct"/>
            <w:tcBorders>
              <w:top w:val="nil"/>
              <w:left w:val="nil"/>
              <w:bottom w:val="nil"/>
              <w:right w:val="nil"/>
            </w:tcBorders>
            <w:vAlign w:val="bottom"/>
          </w:tcPr>
          <w:p w:rsidR="00CA14BE" w:rsidRPr="00DB3063" w:rsidRDefault="00DB3063"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8</w:t>
            </w:r>
            <w:r w:rsidR="007B35DC" w:rsidRPr="00DB3063">
              <w:t>,</w:t>
            </w:r>
            <w:r w:rsidRPr="00DB3063">
              <w:t>250</w:t>
            </w:r>
          </w:p>
        </w:tc>
        <w:tc>
          <w:tcPr>
            <w:tcW w:w="608" w:type="pct"/>
            <w:tcBorders>
              <w:top w:val="nil"/>
              <w:left w:val="nil"/>
              <w:bottom w:val="nil"/>
              <w:right w:val="nil"/>
            </w:tcBorders>
            <w:vAlign w:val="bottom"/>
          </w:tcPr>
          <w:p w:rsidR="00CA14BE" w:rsidRPr="00386317" w:rsidRDefault="00386317"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22</w:t>
            </w:r>
            <w:r w:rsidR="00CA14BE" w:rsidRPr="00386317">
              <w:t>,</w:t>
            </w:r>
            <w:r w:rsidRPr="00386317">
              <w:t>721</w:t>
            </w:r>
          </w:p>
        </w:tc>
        <w:tc>
          <w:tcPr>
            <w:tcW w:w="609" w:type="pct"/>
            <w:tcBorders>
              <w:top w:val="nil"/>
              <w:left w:val="nil"/>
              <w:bottom w:val="nil"/>
              <w:right w:val="nil"/>
            </w:tcBorders>
            <w:vAlign w:val="bottom"/>
          </w:tcPr>
          <w:p w:rsidR="00CA14BE" w:rsidRPr="00386317" w:rsidRDefault="009B1E3E"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8</w:t>
            </w:r>
            <w:r w:rsidR="00386317" w:rsidRPr="00386317">
              <w:t>6</w:t>
            </w:r>
          </w:p>
        </w:tc>
        <w:tc>
          <w:tcPr>
            <w:tcW w:w="609" w:type="pct"/>
            <w:tcBorders>
              <w:top w:val="nil"/>
              <w:left w:val="nil"/>
              <w:bottom w:val="nil"/>
              <w:right w:val="nil"/>
            </w:tcBorders>
            <w:vAlign w:val="bottom"/>
          </w:tcPr>
          <w:p w:rsidR="00CA14BE" w:rsidRPr="00386317" w:rsidRDefault="00CA14BE"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r w:rsidR="00386317" w:rsidRPr="00386317">
              <w:t>8</w:t>
            </w:r>
            <w:r w:rsidR="00D01760" w:rsidRPr="00386317">
              <w:t>,</w:t>
            </w:r>
            <w:r w:rsidR="00386317" w:rsidRPr="00386317">
              <w:t>335</w:t>
            </w:r>
            <w:r w:rsidRPr="00386317">
              <w:t>)</w:t>
            </w:r>
          </w:p>
        </w:tc>
        <w:tc>
          <w:tcPr>
            <w:tcW w:w="608" w:type="pct"/>
            <w:tcBorders>
              <w:top w:val="nil"/>
              <w:left w:val="nil"/>
              <w:bottom w:val="nil"/>
              <w:right w:val="nil"/>
            </w:tcBorders>
            <w:vAlign w:val="bottom"/>
          </w:tcPr>
          <w:p w:rsidR="00CA14BE" w:rsidRPr="000164FB" w:rsidRDefault="005F4DB5" w:rsidP="000164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2</w:t>
            </w:r>
            <w:r w:rsidR="000164FB" w:rsidRPr="000164FB">
              <w:t>2</w:t>
            </w:r>
            <w:r w:rsidR="00CA14BE" w:rsidRPr="000164FB">
              <w:t>,</w:t>
            </w:r>
            <w:r w:rsidR="000164FB" w:rsidRPr="000164FB">
              <w:t>722</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ind w:left="200" w:hanging="200"/>
            </w:pPr>
            <w:r w:rsidRPr="000164FB">
              <w:t>Interest income</w:t>
            </w:r>
            <w:r w:rsidRPr="000164FB">
              <w:tab/>
            </w:r>
          </w:p>
        </w:tc>
        <w:tc>
          <w:tcPr>
            <w:tcW w:w="608" w:type="pct"/>
            <w:tcBorders>
              <w:top w:val="nil"/>
              <w:left w:val="nil"/>
              <w:bottom w:val="nil"/>
              <w:right w:val="nil"/>
            </w:tcBorders>
            <w:vAlign w:val="bottom"/>
          </w:tcPr>
          <w:p w:rsidR="00CA14BE" w:rsidRPr="00DB3063" w:rsidRDefault="007B35DC"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w:t>
            </w:r>
            <w:r w:rsidR="00DB3063" w:rsidRPr="00DB3063">
              <w:t>8</w:t>
            </w:r>
            <w:r w:rsidRPr="00DB3063">
              <w:t>,</w:t>
            </w:r>
            <w:r w:rsidR="00DB3063" w:rsidRPr="00DB3063">
              <w:t>250</w:t>
            </w:r>
            <w:r w:rsidRPr="00DB3063">
              <w:t>)</w:t>
            </w:r>
          </w:p>
        </w:tc>
        <w:tc>
          <w:tcPr>
            <w:tcW w:w="608" w:type="pct"/>
            <w:tcBorders>
              <w:top w:val="nil"/>
              <w:left w:val="nil"/>
              <w:bottom w:val="nil"/>
              <w:right w:val="nil"/>
            </w:tcBorders>
            <w:vAlign w:val="bottom"/>
          </w:tcPr>
          <w:p w:rsidR="00CA14BE" w:rsidRPr="00386317" w:rsidRDefault="00CA14BE"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r w:rsidR="00386317" w:rsidRPr="00386317">
              <w:t>4</w:t>
            </w:r>
            <w:r w:rsidRPr="00386317">
              <w:t>)</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9" w:type="pct"/>
            <w:tcBorders>
              <w:top w:val="nil"/>
              <w:left w:val="nil"/>
              <w:bottom w:val="nil"/>
              <w:right w:val="nil"/>
            </w:tcBorders>
            <w:vAlign w:val="bottom"/>
          </w:tcPr>
          <w:p w:rsidR="00CA14BE" w:rsidRPr="00386317" w:rsidRDefault="00386317"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8</w:t>
            </w:r>
            <w:r w:rsidR="009B1E3E" w:rsidRPr="00386317">
              <w:t>,</w:t>
            </w:r>
            <w:r w:rsidRPr="00386317">
              <w:t>252</w:t>
            </w:r>
          </w:p>
        </w:tc>
        <w:tc>
          <w:tcPr>
            <w:tcW w:w="608" w:type="pct"/>
            <w:tcBorders>
              <w:top w:val="nil"/>
              <w:left w:val="nil"/>
              <w:bottom w:val="nil"/>
              <w:right w:val="nil"/>
            </w:tcBorders>
            <w:vAlign w:val="bottom"/>
          </w:tcPr>
          <w:p w:rsidR="00CA14BE" w:rsidRPr="000164FB" w:rsidRDefault="00CA14BE" w:rsidP="000164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w:t>
            </w:r>
            <w:r w:rsidR="000164FB" w:rsidRPr="000164FB">
              <w:t>2</w:t>
            </w:r>
            <w:r w:rsidRPr="000164FB">
              <w:t>)</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ind w:left="200" w:hanging="200"/>
            </w:pPr>
            <w:r w:rsidRPr="000164FB">
              <w:t>Equity in earnings of subsidiary</w:t>
            </w:r>
            <w:r w:rsidRPr="000164FB">
              <w:tab/>
            </w:r>
          </w:p>
        </w:tc>
        <w:tc>
          <w:tcPr>
            <w:tcW w:w="608" w:type="pct"/>
            <w:tcBorders>
              <w:top w:val="nil"/>
              <w:left w:val="nil"/>
              <w:bottom w:val="nil"/>
              <w:right w:val="nil"/>
            </w:tcBorders>
            <w:vAlign w:val="bottom"/>
          </w:tcPr>
          <w:p w:rsidR="00CA14BE" w:rsidRPr="00DB3063" w:rsidRDefault="00DB3063"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435</w:t>
            </w:r>
          </w:p>
        </w:tc>
        <w:tc>
          <w:tcPr>
            <w:tcW w:w="608" w:type="pct"/>
            <w:tcBorders>
              <w:top w:val="nil"/>
              <w:left w:val="nil"/>
              <w:bottom w:val="nil"/>
              <w:right w:val="nil"/>
            </w:tcBorders>
            <w:vAlign w:val="bottom"/>
          </w:tcPr>
          <w:p w:rsidR="00CA14BE" w:rsidRPr="00386317" w:rsidRDefault="00CA14BE"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r w:rsidR="00386317" w:rsidRPr="00386317">
              <w:t>121</w:t>
            </w:r>
            <w:r w:rsidRPr="00386317">
              <w:t>)</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9" w:type="pct"/>
            <w:tcBorders>
              <w:top w:val="nil"/>
              <w:left w:val="nil"/>
              <w:bottom w:val="nil"/>
              <w:right w:val="nil"/>
            </w:tcBorders>
            <w:vAlign w:val="bottom"/>
          </w:tcPr>
          <w:p w:rsidR="00CA14BE" w:rsidRPr="00386317" w:rsidRDefault="009B1E3E"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r w:rsidR="00386317" w:rsidRPr="00386317">
              <w:t>314</w:t>
            </w:r>
            <w:r w:rsidRPr="00386317">
              <w:t>)</w:t>
            </w:r>
          </w:p>
        </w:tc>
        <w:tc>
          <w:tcPr>
            <w:tcW w:w="608" w:type="pct"/>
            <w:tcBorders>
              <w:top w:val="nil"/>
              <w:left w:val="nil"/>
              <w:bottom w:val="nil"/>
              <w:right w:val="nil"/>
            </w:tcBorders>
            <w:vAlign w:val="bottom"/>
          </w:tcPr>
          <w:p w:rsidR="00CA14BE" w:rsidRPr="000164FB"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FC2B55">
            <w:pPr>
              <w:widowControl/>
              <w:suppressAutoHyphens/>
              <w:spacing w:after="20"/>
              <w:ind w:left="200" w:hanging="200"/>
            </w:pPr>
            <w:r w:rsidRPr="000164FB">
              <w:t>Other income, net</w:t>
            </w:r>
            <w:r w:rsidRPr="000164FB">
              <w:tab/>
            </w:r>
          </w:p>
        </w:tc>
        <w:tc>
          <w:tcPr>
            <w:tcW w:w="608" w:type="pct"/>
            <w:tcBorders>
              <w:top w:val="nil"/>
              <w:left w:val="nil"/>
              <w:bottom w:val="nil"/>
              <w:right w:val="nil"/>
            </w:tcBorders>
            <w:vAlign w:val="bottom"/>
          </w:tcPr>
          <w:p w:rsidR="00CA14BE" w:rsidRPr="00DB3063"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B3063">
              <w:t>—</w:t>
            </w:r>
          </w:p>
        </w:tc>
        <w:tc>
          <w:tcPr>
            <w:tcW w:w="608" w:type="pct"/>
            <w:tcBorders>
              <w:top w:val="nil"/>
              <w:left w:val="nil"/>
              <w:bottom w:val="nil"/>
              <w:right w:val="nil"/>
            </w:tcBorders>
            <w:vAlign w:val="bottom"/>
          </w:tcPr>
          <w:p w:rsidR="00CA14BE" w:rsidRPr="00386317" w:rsidRDefault="00CA14BE" w:rsidP="0038631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w:t>
            </w:r>
            <w:r w:rsidR="00386317" w:rsidRPr="00386317">
              <w:t>794</w:t>
            </w:r>
            <w:r w:rsidRPr="00386317">
              <w:t>)</w:t>
            </w:r>
          </w:p>
        </w:tc>
        <w:tc>
          <w:tcPr>
            <w:tcW w:w="609" w:type="pct"/>
            <w:tcBorders>
              <w:top w:val="nil"/>
              <w:left w:val="nil"/>
              <w:bottom w:val="nil"/>
              <w:right w:val="nil"/>
            </w:tcBorders>
            <w:vAlign w:val="bottom"/>
          </w:tcPr>
          <w:p w:rsidR="00CA14BE" w:rsidRPr="00386317" w:rsidRDefault="00386317" w:rsidP="0038631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(4)</w:t>
            </w:r>
          </w:p>
        </w:tc>
        <w:tc>
          <w:tcPr>
            <w:tcW w:w="609" w:type="pct"/>
            <w:tcBorders>
              <w:top w:val="nil"/>
              <w:left w:val="nil"/>
              <w:bottom w:val="nil"/>
              <w:right w:val="nil"/>
            </w:tcBorders>
            <w:vAlign w:val="bottom"/>
          </w:tcPr>
          <w:p w:rsidR="00CA14BE" w:rsidRPr="00386317"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w:t>
            </w:r>
          </w:p>
        </w:tc>
        <w:tc>
          <w:tcPr>
            <w:tcW w:w="608" w:type="pct"/>
            <w:tcBorders>
              <w:top w:val="nil"/>
              <w:left w:val="nil"/>
              <w:bottom w:val="nil"/>
              <w:right w:val="nil"/>
            </w:tcBorders>
            <w:vAlign w:val="bottom"/>
          </w:tcPr>
          <w:p w:rsidR="00CA14BE" w:rsidRPr="000164FB" w:rsidRDefault="00CA14BE" w:rsidP="000164F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0164FB">
              <w:t>(</w:t>
            </w:r>
            <w:r w:rsidR="000164FB" w:rsidRPr="000164FB">
              <w:t>798)</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32FF8">
            <w:pPr>
              <w:widowControl/>
              <w:suppressAutoHyphens/>
              <w:ind w:left="200" w:hanging="200"/>
            </w:pPr>
            <w:r w:rsidRPr="000164FB">
              <w:rPr>
                <w:b/>
                <w:bCs/>
              </w:rPr>
              <w:t>Total expense</w:t>
            </w:r>
            <w:r w:rsidR="00232FF8" w:rsidRPr="000164FB">
              <w:rPr>
                <w:b/>
                <w:bCs/>
              </w:rPr>
              <w:t>s</w:t>
            </w:r>
            <w:r w:rsidRPr="000164FB">
              <w:tab/>
            </w:r>
          </w:p>
        </w:tc>
        <w:tc>
          <w:tcPr>
            <w:tcW w:w="608" w:type="pct"/>
            <w:tcBorders>
              <w:top w:val="nil"/>
              <w:left w:val="nil"/>
              <w:bottom w:val="nil"/>
              <w:right w:val="nil"/>
            </w:tcBorders>
            <w:vAlign w:val="bottom"/>
          </w:tcPr>
          <w:p w:rsidR="00CA14BE" w:rsidRPr="00DB3063" w:rsidRDefault="00DB3063"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435</w:t>
            </w:r>
          </w:p>
        </w:tc>
        <w:tc>
          <w:tcPr>
            <w:tcW w:w="608" w:type="pct"/>
            <w:tcBorders>
              <w:top w:val="nil"/>
              <w:left w:val="nil"/>
              <w:bottom w:val="nil"/>
              <w:right w:val="nil"/>
            </w:tcBorders>
            <w:vAlign w:val="bottom"/>
          </w:tcPr>
          <w:p w:rsidR="00CA14BE" w:rsidRPr="00386317" w:rsidRDefault="009B1E3E"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11</w:t>
            </w:r>
            <w:r w:rsidR="00386317" w:rsidRPr="00386317">
              <w:t>8</w:t>
            </w:r>
            <w:r w:rsidR="00CA14BE" w:rsidRPr="00386317">
              <w:t>,</w:t>
            </w:r>
            <w:r w:rsidR="00386317" w:rsidRPr="00386317">
              <w:t>106</w:t>
            </w:r>
          </w:p>
        </w:tc>
        <w:tc>
          <w:tcPr>
            <w:tcW w:w="609" w:type="pct"/>
            <w:tcBorders>
              <w:top w:val="nil"/>
              <w:left w:val="nil"/>
              <w:bottom w:val="nil"/>
              <w:right w:val="nil"/>
            </w:tcBorders>
            <w:vAlign w:val="bottom"/>
          </w:tcPr>
          <w:p w:rsidR="00CA14BE" w:rsidRPr="00386317" w:rsidRDefault="00386317"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505</w:t>
            </w:r>
          </w:p>
        </w:tc>
        <w:tc>
          <w:tcPr>
            <w:tcW w:w="609" w:type="pct"/>
            <w:tcBorders>
              <w:top w:val="nil"/>
              <w:left w:val="nil"/>
              <w:bottom w:val="nil"/>
              <w:right w:val="nil"/>
            </w:tcBorders>
            <w:vAlign w:val="bottom"/>
          </w:tcPr>
          <w:p w:rsidR="00CA14BE" w:rsidRPr="00386317" w:rsidRDefault="00386317"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(397)</w:t>
            </w:r>
          </w:p>
        </w:tc>
        <w:tc>
          <w:tcPr>
            <w:tcW w:w="608" w:type="pct"/>
            <w:tcBorders>
              <w:top w:val="nil"/>
              <w:left w:val="nil"/>
              <w:bottom w:val="nil"/>
              <w:right w:val="nil"/>
            </w:tcBorders>
            <w:vAlign w:val="bottom"/>
          </w:tcPr>
          <w:p w:rsidR="00CA14BE" w:rsidRPr="000164FB" w:rsidRDefault="005F4DB5" w:rsidP="000164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11</w:t>
            </w:r>
            <w:r w:rsidR="000164FB" w:rsidRPr="000164FB">
              <w:t>8</w:t>
            </w:r>
            <w:r w:rsidR="00D03CA9" w:rsidRPr="000164FB">
              <w:t>,</w:t>
            </w:r>
            <w:r w:rsidR="000164FB" w:rsidRPr="000164FB">
              <w:t>649</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DB29D9">
            <w:pPr>
              <w:widowControl/>
              <w:suppressAutoHyphens/>
              <w:ind w:left="200" w:hanging="200"/>
            </w:pPr>
            <w:r w:rsidRPr="000164FB">
              <w:t xml:space="preserve">(Loss) </w:t>
            </w:r>
            <w:r w:rsidR="00DB29D9" w:rsidRPr="000164FB">
              <w:t>i</w:t>
            </w:r>
            <w:r w:rsidRPr="000164FB">
              <w:t>ncome before (benefit) provision for income taxes</w:t>
            </w:r>
            <w:r w:rsidRPr="000164FB">
              <w:tab/>
            </w:r>
          </w:p>
        </w:tc>
        <w:tc>
          <w:tcPr>
            <w:tcW w:w="608" w:type="pct"/>
            <w:tcBorders>
              <w:top w:val="nil"/>
              <w:left w:val="nil"/>
              <w:bottom w:val="nil"/>
              <w:right w:val="nil"/>
            </w:tcBorders>
            <w:vAlign w:val="bottom"/>
          </w:tcPr>
          <w:p w:rsidR="00CA14BE" w:rsidRPr="00DB3063" w:rsidRDefault="005F4DB5" w:rsidP="00DB306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w:t>
            </w:r>
            <w:r w:rsidR="00DB3063" w:rsidRPr="00DB3063">
              <w:t>435</w:t>
            </w:r>
            <w:r w:rsidRPr="00DB3063">
              <w:t>)</w:t>
            </w:r>
          </w:p>
        </w:tc>
        <w:tc>
          <w:tcPr>
            <w:tcW w:w="608" w:type="pct"/>
            <w:tcBorders>
              <w:top w:val="nil"/>
              <w:left w:val="nil"/>
              <w:bottom w:val="nil"/>
              <w:right w:val="nil"/>
            </w:tcBorders>
            <w:vAlign w:val="bottom"/>
          </w:tcPr>
          <w:p w:rsidR="00CA14BE" w:rsidRPr="00386317" w:rsidRDefault="00334773"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r w:rsidR="00386317" w:rsidRPr="00386317">
              <w:t>915</w:t>
            </w:r>
            <w:r w:rsidRPr="00386317">
              <w:t>)</w:t>
            </w:r>
          </w:p>
        </w:tc>
        <w:tc>
          <w:tcPr>
            <w:tcW w:w="609" w:type="pct"/>
            <w:tcBorders>
              <w:top w:val="nil"/>
              <w:left w:val="nil"/>
              <w:bottom w:val="nil"/>
              <w:right w:val="nil"/>
            </w:tcBorders>
            <w:vAlign w:val="bottom"/>
          </w:tcPr>
          <w:p w:rsidR="00CA14BE" w:rsidRPr="00386317" w:rsidRDefault="00386317"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286</w:t>
            </w:r>
          </w:p>
        </w:tc>
        <w:tc>
          <w:tcPr>
            <w:tcW w:w="609" w:type="pct"/>
            <w:tcBorders>
              <w:top w:val="nil"/>
              <w:left w:val="nil"/>
              <w:bottom w:val="nil"/>
              <w:right w:val="nil"/>
            </w:tcBorders>
            <w:vAlign w:val="bottom"/>
          </w:tcPr>
          <w:p w:rsidR="00CA14BE" w:rsidRPr="00386317" w:rsidRDefault="00386317"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314</w:t>
            </w:r>
          </w:p>
        </w:tc>
        <w:tc>
          <w:tcPr>
            <w:tcW w:w="608" w:type="pct"/>
            <w:tcBorders>
              <w:top w:val="nil"/>
              <w:left w:val="nil"/>
              <w:bottom w:val="nil"/>
              <w:right w:val="nil"/>
            </w:tcBorders>
            <w:vAlign w:val="bottom"/>
          </w:tcPr>
          <w:p w:rsidR="00CA14BE" w:rsidRPr="000164FB" w:rsidRDefault="005F4DB5" w:rsidP="000164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w:t>
            </w:r>
            <w:r w:rsidR="000164FB" w:rsidRPr="000164FB">
              <w:t>750</w:t>
            </w:r>
            <w:r w:rsidRPr="000164FB">
              <w:t>)</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spacing w:after="20"/>
              <w:ind w:left="200" w:hanging="200"/>
            </w:pPr>
            <w:r w:rsidRPr="000164FB">
              <w:t>(Benefit) provision for income taxes</w:t>
            </w:r>
            <w:r w:rsidRPr="000164FB">
              <w:tab/>
            </w:r>
          </w:p>
        </w:tc>
        <w:tc>
          <w:tcPr>
            <w:tcW w:w="608" w:type="pct"/>
            <w:tcBorders>
              <w:top w:val="nil"/>
              <w:left w:val="nil"/>
              <w:bottom w:val="nil"/>
              <w:right w:val="nil"/>
            </w:tcBorders>
            <w:vAlign w:val="bottom"/>
          </w:tcPr>
          <w:p w:rsidR="00CA14BE" w:rsidRPr="00DB3063"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B3063">
              <w:t>—</w:t>
            </w:r>
          </w:p>
        </w:tc>
        <w:tc>
          <w:tcPr>
            <w:tcW w:w="608" w:type="pct"/>
            <w:tcBorders>
              <w:top w:val="nil"/>
              <w:left w:val="nil"/>
              <w:bottom w:val="nil"/>
              <w:right w:val="nil"/>
            </w:tcBorders>
            <w:vAlign w:val="bottom"/>
          </w:tcPr>
          <w:p w:rsidR="00CA14BE" w:rsidRPr="00386317" w:rsidRDefault="00CA14BE" w:rsidP="0038631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w:t>
            </w:r>
            <w:r w:rsidR="00386317" w:rsidRPr="00386317">
              <w:t>480</w:t>
            </w:r>
            <w:r w:rsidRPr="00386317">
              <w:t>)</w:t>
            </w:r>
          </w:p>
        </w:tc>
        <w:tc>
          <w:tcPr>
            <w:tcW w:w="609" w:type="pct"/>
            <w:tcBorders>
              <w:top w:val="nil"/>
              <w:left w:val="nil"/>
              <w:bottom w:val="nil"/>
              <w:right w:val="nil"/>
            </w:tcBorders>
            <w:vAlign w:val="bottom"/>
          </w:tcPr>
          <w:p w:rsidR="00CA14BE" w:rsidRPr="00386317" w:rsidRDefault="00334773" w:rsidP="0038631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1</w:t>
            </w:r>
            <w:r w:rsidR="00386317" w:rsidRPr="00386317">
              <w:t>65</w:t>
            </w:r>
          </w:p>
        </w:tc>
        <w:tc>
          <w:tcPr>
            <w:tcW w:w="609" w:type="pct"/>
            <w:tcBorders>
              <w:top w:val="nil"/>
              <w:left w:val="nil"/>
              <w:bottom w:val="nil"/>
              <w:right w:val="nil"/>
            </w:tcBorders>
            <w:vAlign w:val="bottom"/>
          </w:tcPr>
          <w:p w:rsidR="00CA14BE" w:rsidRPr="00386317"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w:t>
            </w:r>
          </w:p>
        </w:tc>
        <w:tc>
          <w:tcPr>
            <w:tcW w:w="608" w:type="pct"/>
            <w:tcBorders>
              <w:top w:val="nil"/>
              <w:left w:val="nil"/>
              <w:bottom w:val="nil"/>
              <w:right w:val="nil"/>
            </w:tcBorders>
            <w:vAlign w:val="bottom"/>
          </w:tcPr>
          <w:p w:rsidR="00CA14BE" w:rsidRPr="000164FB" w:rsidRDefault="005F4DB5" w:rsidP="000164F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0164FB">
              <w:t>(3</w:t>
            </w:r>
            <w:r w:rsidR="000164FB" w:rsidRPr="000164FB">
              <w:t>15</w:t>
            </w:r>
            <w:r w:rsidRPr="000164FB">
              <w:t>)</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AF0420">
            <w:pPr>
              <w:widowControl/>
              <w:suppressAutoHyphens/>
              <w:spacing w:after="40"/>
              <w:ind w:left="200" w:hanging="200"/>
            </w:pPr>
            <w:r w:rsidRPr="000164FB">
              <w:rPr>
                <w:b/>
                <w:bCs/>
              </w:rPr>
              <w:t xml:space="preserve">Net </w:t>
            </w:r>
            <w:r w:rsidR="00AF0420" w:rsidRPr="000164FB">
              <w:rPr>
                <w:b/>
                <w:bCs/>
              </w:rPr>
              <w:t xml:space="preserve">(loss) </w:t>
            </w:r>
            <w:r w:rsidR="004B2CF8" w:rsidRPr="000164FB">
              <w:rPr>
                <w:b/>
                <w:bCs/>
              </w:rPr>
              <w:t>income</w:t>
            </w:r>
            <w:r w:rsidRPr="000164FB">
              <w:tab/>
            </w:r>
          </w:p>
        </w:tc>
        <w:tc>
          <w:tcPr>
            <w:tcW w:w="608" w:type="pct"/>
            <w:tcBorders>
              <w:top w:val="nil"/>
              <w:left w:val="nil"/>
              <w:bottom w:val="nil"/>
              <w:right w:val="nil"/>
            </w:tcBorders>
            <w:vAlign w:val="bottom"/>
          </w:tcPr>
          <w:p w:rsidR="00CA14BE" w:rsidRPr="00DB3063" w:rsidRDefault="007B35DC" w:rsidP="00DB3063">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DB3063">
              <w:t>(</w:t>
            </w:r>
            <w:r w:rsidR="00DB3063" w:rsidRPr="00DB3063">
              <w:t>435</w:t>
            </w:r>
            <w:r w:rsidRPr="00DB3063">
              <w:t>)</w:t>
            </w:r>
          </w:p>
        </w:tc>
        <w:tc>
          <w:tcPr>
            <w:tcW w:w="608" w:type="pct"/>
            <w:tcBorders>
              <w:top w:val="nil"/>
              <w:left w:val="nil"/>
              <w:bottom w:val="nil"/>
              <w:right w:val="nil"/>
            </w:tcBorders>
            <w:vAlign w:val="bottom"/>
          </w:tcPr>
          <w:p w:rsidR="00CA14BE" w:rsidRPr="00386317" w:rsidRDefault="00386317" w:rsidP="00386317">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386317">
              <w:t>(435)</w:t>
            </w:r>
          </w:p>
        </w:tc>
        <w:tc>
          <w:tcPr>
            <w:tcW w:w="609" w:type="pct"/>
            <w:tcBorders>
              <w:top w:val="nil"/>
              <w:left w:val="nil"/>
              <w:bottom w:val="nil"/>
              <w:right w:val="nil"/>
            </w:tcBorders>
            <w:vAlign w:val="bottom"/>
          </w:tcPr>
          <w:p w:rsidR="00CA14BE" w:rsidRPr="00386317" w:rsidRDefault="00386317" w:rsidP="00386317">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386317">
              <w:t>121</w:t>
            </w:r>
          </w:p>
        </w:tc>
        <w:tc>
          <w:tcPr>
            <w:tcW w:w="609" w:type="pct"/>
            <w:tcBorders>
              <w:top w:val="nil"/>
              <w:left w:val="nil"/>
              <w:bottom w:val="nil"/>
              <w:right w:val="nil"/>
            </w:tcBorders>
            <w:vAlign w:val="bottom"/>
          </w:tcPr>
          <w:p w:rsidR="00CA14BE" w:rsidRPr="00386317" w:rsidRDefault="00386317" w:rsidP="00386317">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386317">
              <w:t>314</w:t>
            </w:r>
          </w:p>
        </w:tc>
        <w:tc>
          <w:tcPr>
            <w:tcW w:w="608" w:type="pct"/>
            <w:tcBorders>
              <w:top w:val="nil"/>
              <w:left w:val="nil"/>
              <w:bottom w:val="nil"/>
              <w:right w:val="nil"/>
            </w:tcBorders>
            <w:vAlign w:val="bottom"/>
          </w:tcPr>
          <w:p w:rsidR="00CA14BE" w:rsidRPr="000164FB" w:rsidRDefault="005F4DB5" w:rsidP="000164F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0164FB">
              <w:t>(4</w:t>
            </w:r>
            <w:r w:rsidR="000164FB" w:rsidRPr="000164FB">
              <w:t>35</w:t>
            </w:r>
            <w:r w:rsidRPr="000164FB">
              <w:t>)</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386317">
            <w:pPr>
              <w:widowControl/>
              <w:suppressAutoHyphens/>
              <w:ind w:left="200" w:hanging="200"/>
            </w:pPr>
            <w:r w:rsidRPr="000164FB">
              <w:t>Unrealized loss on derivative instruments, net of tax of $</w:t>
            </w:r>
            <w:r w:rsidR="00386317" w:rsidRPr="000164FB">
              <w:t>180</w:t>
            </w:r>
          </w:p>
        </w:tc>
        <w:tc>
          <w:tcPr>
            <w:tcW w:w="608" w:type="pct"/>
            <w:tcBorders>
              <w:top w:val="nil"/>
              <w:left w:val="nil"/>
              <w:bottom w:val="nil"/>
              <w:right w:val="nil"/>
            </w:tcBorders>
            <w:vAlign w:val="bottom"/>
          </w:tcPr>
          <w:p w:rsidR="00CA14BE" w:rsidRPr="00DB3063"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w:t>
            </w:r>
          </w:p>
        </w:tc>
        <w:tc>
          <w:tcPr>
            <w:tcW w:w="608" w:type="pct"/>
            <w:tcBorders>
              <w:top w:val="nil"/>
              <w:left w:val="nil"/>
              <w:bottom w:val="nil"/>
              <w:right w:val="nil"/>
            </w:tcBorders>
            <w:vAlign w:val="bottom"/>
          </w:tcPr>
          <w:p w:rsidR="00CA14BE" w:rsidRPr="00386317" w:rsidRDefault="00CA14BE"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r w:rsidR="00386317" w:rsidRPr="00386317">
              <w:t>279</w:t>
            </w:r>
            <w:r w:rsidRPr="00386317">
              <w:t>)</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8" w:type="pct"/>
            <w:tcBorders>
              <w:top w:val="nil"/>
              <w:left w:val="nil"/>
              <w:bottom w:val="nil"/>
              <w:right w:val="nil"/>
            </w:tcBorders>
            <w:vAlign w:val="bottom"/>
          </w:tcPr>
          <w:p w:rsidR="00CA14BE" w:rsidRPr="000164FB" w:rsidRDefault="00CA14BE" w:rsidP="000164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w:t>
            </w:r>
            <w:r w:rsidR="000164FB" w:rsidRPr="000164FB">
              <w:t>279</w:t>
            </w:r>
            <w:r w:rsidRPr="000164FB">
              <w:t>)</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386317">
            <w:pPr>
              <w:widowControl/>
              <w:suppressAutoHyphens/>
              <w:ind w:left="200" w:hanging="200"/>
            </w:pPr>
            <w:r w:rsidRPr="000164FB">
              <w:t xml:space="preserve">Derivative loss reclassified into earnings, net of tax of </w:t>
            </w:r>
            <w:r w:rsidR="00334773" w:rsidRPr="000164FB">
              <w:t>(</w:t>
            </w:r>
            <w:r w:rsidRPr="000164FB">
              <w:t>$</w:t>
            </w:r>
            <w:r w:rsidR="00386317" w:rsidRPr="000164FB">
              <w:t>2</w:t>
            </w:r>
            <w:r w:rsidR="00232FF8" w:rsidRPr="000164FB">
              <w:t>,</w:t>
            </w:r>
            <w:r w:rsidR="00386317" w:rsidRPr="000164FB">
              <w:t>049</w:t>
            </w:r>
            <w:r w:rsidR="00334773" w:rsidRPr="000164FB">
              <w:t>)</w:t>
            </w:r>
            <w:r w:rsidRPr="000164FB">
              <w:tab/>
            </w:r>
          </w:p>
        </w:tc>
        <w:tc>
          <w:tcPr>
            <w:tcW w:w="608" w:type="pct"/>
            <w:tcBorders>
              <w:top w:val="nil"/>
              <w:left w:val="nil"/>
              <w:bottom w:val="nil"/>
              <w:right w:val="nil"/>
            </w:tcBorders>
            <w:vAlign w:val="bottom"/>
          </w:tcPr>
          <w:p w:rsidR="00CA14BE" w:rsidRPr="00DB3063"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B3063">
              <w:t>—</w:t>
            </w:r>
          </w:p>
        </w:tc>
        <w:tc>
          <w:tcPr>
            <w:tcW w:w="608" w:type="pct"/>
            <w:tcBorders>
              <w:top w:val="nil"/>
              <w:left w:val="nil"/>
              <w:bottom w:val="nil"/>
              <w:right w:val="nil"/>
            </w:tcBorders>
            <w:vAlign w:val="bottom"/>
          </w:tcPr>
          <w:p w:rsidR="00CA14BE" w:rsidRPr="00386317" w:rsidRDefault="00386317" w:rsidP="0038631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3</w:t>
            </w:r>
            <w:r w:rsidR="009B1E3E" w:rsidRPr="00386317">
              <w:t>,</w:t>
            </w:r>
            <w:r w:rsidRPr="00386317">
              <w:t>168</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9" w:type="pct"/>
            <w:tcBorders>
              <w:top w:val="nil"/>
              <w:left w:val="nil"/>
              <w:bottom w:val="nil"/>
              <w:right w:val="nil"/>
            </w:tcBorders>
            <w:vAlign w:val="bottom"/>
          </w:tcPr>
          <w:p w:rsidR="00CA14BE" w:rsidRPr="00386317" w:rsidRDefault="00744A72"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386317">
              <w:t>—</w:t>
            </w:r>
          </w:p>
        </w:tc>
        <w:tc>
          <w:tcPr>
            <w:tcW w:w="608" w:type="pct"/>
            <w:tcBorders>
              <w:top w:val="nil"/>
              <w:left w:val="nil"/>
              <w:bottom w:val="nil"/>
              <w:right w:val="nil"/>
            </w:tcBorders>
            <w:vAlign w:val="bottom"/>
          </w:tcPr>
          <w:p w:rsidR="00CA14BE" w:rsidRPr="000164FB" w:rsidRDefault="000164FB" w:rsidP="000164F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164FB">
              <w:t>3</w:t>
            </w:r>
            <w:r w:rsidR="005F4DB5" w:rsidRPr="000164FB">
              <w:t>,</w:t>
            </w:r>
            <w:r w:rsidRPr="000164FB">
              <w:t>168</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386317">
            <w:pPr>
              <w:widowControl/>
              <w:suppressAutoHyphens/>
              <w:spacing w:after="20"/>
              <w:ind w:left="200" w:hanging="200"/>
            </w:pPr>
            <w:r w:rsidRPr="000164FB">
              <w:t xml:space="preserve">Foreign currency translation loss, net of tax of </w:t>
            </w:r>
            <w:r w:rsidR="00386317" w:rsidRPr="000164FB">
              <w:t xml:space="preserve"> $102</w:t>
            </w:r>
          </w:p>
        </w:tc>
        <w:tc>
          <w:tcPr>
            <w:tcW w:w="608" w:type="pct"/>
            <w:tcBorders>
              <w:top w:val="nil"/>
              <w:left w:val="nil"/>
              <w:bottom w:val="nil"/>
              <w:right w:val="nil"/>
            </w:tcBorders>
            <w:vAlign w:val="bottom"/>
          </w:tcPr>
          <w:p w:rsidR="00CA14BE" w:rsidRPr="00DB3063"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B3063">
              <w:t>—</w:t>
            </w:r>
          </w:p>
        </w:tc>
        <w:tc>
          <w:tcPr>
            <w:tcW w:w="608" w:type="pct"/>
            <w:tcBorders>
              <w:top w:val="nil"/>
              <w:left w:val="nil"/>
              <w:bottom w:val="nil"/>
              <w:right w:val="nil"/>
            </w:tcBorders>
            <w:vAlign w:val="bottom"/>
          </w:tcPr>
          <w:p w:rsidR="00CA14BE" w:rsidRPr="00386317" w:rsidRDefault="00386317" w:rsidP="0038631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(155)</w:t>
            </w:r>
          </w:p>
        </w:tc>
        <w:tc>
          <w:tcPr>
            <w:tcW w:w="609" w:type="pct"/>
            <w:tcBorders>
              <w:top w:val="nil"/>
              <w:left w:val="nil"/>
              <w:bottom w:val="nil"/>
              <w:right w:val="nil"/>
            </w:tcBorders>
            <w:vAlign w:val="bottom"/>
          </w:tcPr>
          <w:p w:rsidR="00CA14BE" w:rsidRPr="00386317"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w:t>
            </w:r>
          </w:p>
        </w:tc>
        <w:tc>
          <w:tcPr>
            <w:tcW w:w="609" w:type="pct"/>
            <w:tcBorders>
              <w:top w:val="nil"/>
              <w:left w:val="nil"/>
              <w:bottom w:val="nil"/>
              <w:right w:val="nil"/>
            </w:tcBorders>
            <w:vAlign w:val="bottom"/>
          </w:tcPr>
          <w:p w:rsidR="00CA14BE" w:rsidRPr="00386317"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w:t>
            </w:r>
          </w:p>
        </w:tc>
        <w:tc>
          <w:tcPr>
            <w:tcW w:w="608" w:type="pct"/>
            <w:tcBorders>
              <w:top w:val="nil"/>
              <w:left w:val="nil"/>
              <w:bottom w:val="nil"/>
              <w:right w:val="nil"/>
            </w:tcBorders>
            <w:vAlign w:val="bottom"/>
          </w:tcPr>
          <w:p w:rsidR="00CA14BE" w:rsidRPr="000164FB" w:rsidRDefault="000164FB" w:rsidP="000164F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0164FB">
              <w:t>(155)</w:t>
            </w:r>
          </w:p>
        </w:tc>
      </w:tr>
      <w:tr w:rsidR="00334773"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spacing w:after="20"/>
              <w:ind w:left="200" w:hanging="200"/>
            </w:pPr>
            <w:r w:rsidRPr="000164FB">
              <w:rPr>
                <w:b/>
                <w:bCs/>
              </w:rPr>
              <w:t xml:space="preserve">Total </w:t>
            </w:r>
            <w:r w:rsidR="00CE44AA" w:rsidRPr="000164FB">
              <w:rPr>
                <w:b/>
                <w:bCs/>
              </w:rPr>
              <w:t>o</w:t>
            </w:r>
            <w:r w:rsidRPr="000164FB">
              <w:rPr>
                <w:b/>
                <w:bCs/>
              </w:rPr>
              <w:t xml:space="preserve">ther comprehensive </w:t>
            </w:r>
            <w:r w:rsidR="00FC2B55">
              <w:rPr>
                <w:b/>
                <w:bCs/>
              </w:rPr>
              <w:t>income</w:t>
            </w:r>
            <w:r w:rsidRPr="000164FB">
              <w:tab/>
            </w:r>
          </w:p>
        </w:tc>
        <w:tc>
          <w:tcPr>
            <w:tcW w:w="608" w:type="pct"/>
            <w:tcBorders>
              <w:top w:val="nil"/>
              <w:left w:val="nil"/>
              <w:bottom w:val="nil"/>
              <w:right w:val="nil"/>
            </w:tcBorders>
            <w:vAlign w:val="bottom"/>
          </w:tcPr>
          <w:p w:rsidR="00CA14BE" w:rsidRPr="00DB3063"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B3063">
              <w:t>—</w:t>
            </w:r>
          </w:p>
        </w:tc>
        <w:tc>
          <w:tcPr>
            <w:tcW w:w="608" w:type="pct"/>
            <w:tcBorders>
              <w:top w:val="nil"/>
              <w:left w:val="nil"/>
              <w:bottom w:val="nil"/>
              <w:right w:val="nil"/>
            </w:tcBorders>
            <w:vAlign w:val="bottom"/>
          </w:tcPr>
          <w:p w:rsidR="00CA14BE" w:rsidRPr="00386317" w:rsidRDefault="00D15E7A" w:rsidP="0038631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2,</w:t>
            </w:r>
            <w:r w:rsidR="00386317" w:rsidRPr="00386317">
              <w:t>734</w:t>
            </w:r>
          </w:p>
        </w:tc>
        <w:tc>
          <w:tcPr>
            <w:tcW w:w="609" w:type="pct"/>
            <w:tcBorders>
              <w:top w:val="nil"/>
              <w:left w:val="nil"/>
              <w:bottom w:val="nil"/>
              <w:right w:val="nil"/>
            </w:tcBorders>
            <w:vAlign w:val="bottom"/>
          </w:tcPr>
          <w:p w:rsidR="00CA14BE" w:rsidRPr="00386317"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w:t>
            </w:r>
          </w:p>
        </w:tc>
        <w:tc>
          <w:tcPr>
            <w:tcW w:w="609" w:type="pct"/>
            <w:tcBorders>
              <w:top w:val="nil"/>
              <w:left w:val="nil"/>
              <w:bottom w:val="nil"/>
              <w:right w:val="nil"/>
            </w:tcBorders>
            <w:vAlign w:val="bottom"/>
          </w:tcPr>
          <w:p w:rsidR="00CA14BE" w:rsidRPr="00386317" w:rsidRDefault="00744A72" w:rsidP="00744A7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386317">
              <w:t>—</w:t>
            </w:r>
          </w:p>
        </w:tc>
        <w:tc>
          <w:tcPr>
            <w:tcW w:w="608" w:type="pct"/>
            <w:tcBorders>
              <w:top w:val="nil"/>
              <w:left w:val="nil"/>
              <w:bottom w:val="nil"/>
              <w:right w:val="nil"/>
            </w:tcBorders>
            <w:vAlign w:val="bottom"/>
          </w:tcPr>
          <w:p w:rsidR="00CA14BE" w:rsidRPr="000164FB" w:rsidRDefault="00D15E7A" w:rsidP="000164F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0164FB">
              <w:t>2,</w:t>
            </w:r>
            <w:r w:rsidR="000164FB" w:rsidRPr="000164FB">
              <w:t>734</w:t>
            </w:r>
          </w:p>
        </w:tc>
      </w:tr>
      <w:tr w:rsidR="00D15E7A" w:rsidRPr="0053635E" w:rsidTr="00386317">
        <w:trPr>
          <w:cantSplit/>
          <w:jc w:val="center"/>
        </w:trPr>
        <w:tc>
          <w:tcPr>
            <w:tcW w:w="1959" w:type="pct"/>
            <w:tcBorders>
              <w:top w:val="nil"/>
              <w:left w:val="nil"/>
              <w:bottom w:val="nil"/>
              <w:right w:val="nil"/>
            </w:tcBorders>
          </w:tcPr>
          <w:p w:rsidR="00CA14BE" w:rsidRPr="000164FB" w:rsidRDefault="00CA14BE" w:rsidP="00257904">
            <w:pPr>
              <w:widowControl/>
              <w:suppressAutoHyphens/>
              <w:spacing w:after="40"/>
              <w:ind w:left="200" w:hanging="200"/>
            </w:pPr>
            <w:r w:rsidRPr="000164FB">
              <w:rPr>
                <w:b/>
                <w:bCs/>
              </w:rPr>
              <w:t>Total comprehensive (loss) income</w:t>
            </w:r>
            <w:r w:rsidRPr="000164FB">
              <w:tab/>
            </w:r>
          </w:p>
        </w:tc>
        <w:tc>
          <w:tcPr>
            <w:tcW w:w="608" w:type="pct"/>
            <w:tcBorders>
              <w:top w:val="nil"/>
              <w:left w:val="nil"/>
              <w:bottom w:val="nil"/>
              <w:right w:val="nil"/>
            </w:tcBorders>
            <w:vAlign w:val="bottom"/>
          </w:tcPr>
          <w:p w:rsidR="00CA14BE" w:rsidRPr="00DB3063" w:rsidRDefault="00CA14BE" w:rsidP="00DB3063">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DB3063">
              <w:t>$</w:t>
            </w:r>
            <w:r w:rsidR="006364D1" w:rsidRPr="00DB3063">
              <w:t xml:space="preserve">       </w:t>
            </w:r>
            <w:r w:rsidR="00DB3063" w:rsidRPr="00DB3063">
              <w:t xml:space="preserve">   </w:t>
            </w:r>
            <w:r w:rsidR="006364D1" w:rsidRPr="00DB3063">
              <w:t xml:space="preserve"> </w:t>
            </w:r>
            <w:r w:rsidR="007B35DC" w:rsidRPr="00DB3063">
              <w:t>(</w:t>
            </w:r>
            <w:r w:rsidR="00DB3063" w:rsidRPr="00DB3063">
              <w:t>435</w:t>
            </w:r>
            <w:r w:rsidR="007B35DC" w:rsidRPr="00DB3063">
              <w:t>)</w:t>
            </w:r>
            <w:r w:rsidR="00257904" w:rsidRPr="00DB3063">
              <w:t xml:space="preserve">           </w:t>
            </w:r>
          </w:p>
        </w:tc>
        <w:tc>
          <w:tcPr>
            <w:tcW w:w="608" w:type="pct"/>
            <w:tcBorders>
              <w:top w:val="nil"/>
              <w:left w:val="nil"/>
              <w:bottom w:val="nil"/>
              <w:right w:val="nil"/>
            </w:tcBorders>
            <w:vAlign w:val="bottom"/>
          </w:tcPr>
          <w:p w:rsidR="00CA14BE" w:rsidRPr="00386317" w:rsidRDefault="00CA14BE" w:rsidP="00386317">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386317">
              <w:t>$</w:t>
            </w:r>
            <w:r w:rsidR="00257904" w:rsidRPr="00386317">
              <w:t xml:space="preserve">  </w:t>
            </w:r>
            <w:r w:rsidR="00084DC4" w:rsidRPr="00386317">
              <w:t xml:space="preserve"> </w:t>
            </w:r>
            <w:r w:rsidR="006364D1" w:rsidRPr="00386317">
              <w:t xml:space="preserve">  </w:t>
            </w:r>
            <w:r w:rsidR="00257904" w:rsidRPr="00386317">
              <w:t xml:space="preserve"> </w:t>
            </w:r>
            <w:r w:rsidR="009B1E3E" w:rsidRPr="00386317">
              <w:t xml:space="preserve">   </w:t>
            </w:r>
            <w:r w:rsidR="00257904" w:rsidRPr="00386317">
              <w:t xml:space="preserve"> </w:t>
            </w:r>
            <w:r w:rsidR="00386317" w:rsidRPr="00386317">
              <w:t>2,299</w:t>
            </w:r>
          </w:p>
        </w:tc>
        <w:tc>
          <w:tcPr>
            <w:tcW w:w="609" w:type="pct"/>
            <w:tcBorders>
              <w:top w:val="nil"/>
              <w:left w:val="nil"/>
              <w:bottom w:val="nil"/>
              <w:right w:val="nil"/>
            </w:tcBorders>
            <w:vAlign w:val="bottom"/>
          </w:tcPr>
          <w:p w:rsidR="00CA14BE" w:rsidRPr="00386317" w:rsidRDefault="00CA14BE" w:rsidP="00386317">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386317">
              <w:t>$</w:t>
            </w:r>
            <w:r w:rsidR="00257904" w:rsidRPr="00386317">
              <w:t xml:space="preserve">              </w:t>
            </w:r>
            <w:r w:rsidR="00386317" w:rsidRPr="00386317">
              <w:t>121</w:t>
            </w:r>
          </w:p>
        </w:tc>
        <w:tc>
          <w:tcPr>
            <w:tcW w:w="609" w:type="pct"/>
            <w:tcBorders>
              <w:top w:val="nil"/>
              <w:left w:val="nil"/>
              <w:bottom w:val="nil"/>
              <w:right w:val="nil"/>
            </w:tcBorders>
            <w:vAlign w:val="bottom"/>
          </w:tcPr>
          <w:p w:rsidR="00CA14BE" w:rsidRPr="00386317" w:rsidRDefault="00CA14BE" w:rsidP="00386317">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386317">
              <w:t>$</w:t>
            </w:r>
            <w:r w:rsidR="00084DC4" w:rsidRPr="00386317">
              <w:t xml:space="preserve"> </w:t>
            </w:r>
            <w:r w:rsidR="00257904" w:rsidRPr="00386317">
              <w:t xml:space="preserve">      </w:t>
            </w:r>
            <w:r w:rsidR="00386317" w:rsidRPr="00386317">
              <w:t xml:space="preserve">      </w:t>
            </w:r>
            <w:r w:rsidR="00257904" w:rsidRPr="00386317">
              <w:t xml:space="preserve"> </w:t>
            </w:r>
            <w:r w:rsidR="00386317" w:rsidRPr="00386317">
              <w:t>314</w:t>
            </w:r>
          </w:p>
        </w:tc>
        <w:tc>
          <w:tcPr>
            <w:tcW w:w="608" w:type="pct"/>
            <w:tcBorders>
              <w:top w:val="nil"/>
              <w:left w:val="nil"/>
              <w:bottom w:val="nil"/>
              <w:right w:val="nil"/>
            </w:tcBorders>
            <w:vAlign w:val="bottom"/>
          </w:tcPr>
          <w:p w:rsidR="00CA14BE" w:rsidRPr="000164FB" w:rsidRDefault="00CA14BE" w:rsidP="000164F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0164FB">
              <w:t>$</w:t>
            </w:r>
            <w:r w:rsidR="00257904" w:rsidRPr="000164FB">
              <w:t xml:space="preserve">       </w:t>
            </w:r>
            <w:r w:rsidR="000164FB" w:rsidRPr="000164FB">
              <w:t xml:space="preserve">   2</w:t>
            </w:r>
            <w:r w:rsidR="00D15E7A" w:rsidRPr="000164FB">
              <w:t>,</w:t>
            </w:r>
            <w:r w:rsidR="000164FB" w:rsidRPr="000164FB">
              <w:t>299</w:t>
            </w:r>
          </w:p>
        </w:tc>
      </w:tr>
    </w:tbl>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rPr>
          <w:highlight w:val="yellow"/>
        </w:rPr>
      </w:pPr>
    </w:p>
    <w:p w:rsidR="00266755" w:rsidRPr="00C962FA" w:rsidRDefault="00266755" w:rsidP="00266755">
      <w:pPr>
        <w:keepNext/>
        <w:keepLines/>
        <w:widowControl/>
        <w:tabs>
          <w:tab w:val="left" w:pos="720"/>
          <w:tab w:val="left" w:pos="1440"/>
          <w:tab w:val="center" w:pos="5400"/>
        </w:tabs>
        <w:suppressAutoHyphens/>
        <w:rPr>
          <w:b/>
          <w:bCs/>
        </w:rPr>
      </w:pPr>
    </w:p>
    <w:p w:rsidR="00266755" w:rsidRPr="00C962FA" w:rsidRDefault="00266755" w:rsidP="00266755">
      <w:pPr>
        <w:keepNext/>
        <w:keepLines/>
        <w:widowControl/>
        <w:tabs>
          <w:tab w:val="left" w:pos="720"/>
          <w:tab w:val="left" w:pos="1440"/>
          <w:tab w:val="center" w:pos="5400"/>
        </w:tabs>
        <w:suppressAutoHyphens/>
      </w:pPr>
    </w:p>
    <w:p w:rsidR="00266755" w:rsidRPr="00C962FA" w:rsidRDefault="00266755" w:rsidP="00266755">
      <w:pPr>
        <w:keepNext/>
        <w:keepLines/>
        <w:widowControl/>
        <w:tabs>
          <w:tab w:val="left" w:pos="720"/>
          <w:tab w:val="left" w:pos="1440"/>
          <w:tab w:val="center" w:pos="5400"/>
        </w:tabs>
        <w:suppressAutoHyphens/>
        <w:jc w:val="center"/>
      </w:pPr>
    </w:p>
    <w:p w:rsidR="00266755" w:rsidRPr="00C962FA" w:rsidRDefault="00266755" w:rsidP="00C962FA">
      <w:pPr>
        <w:keepNext/>
        <w:keepLines/>
        <w:widowControl/>
        <w:tabs>
          <w:tab w:val="left" w:pos="720"/>
          <w:tab w:val="left" w:pos="1440"/>
          <w:tab w:val="center" w:pos="5400"/>
        </w:tabs>
        <w:suppressAutoHyphens/>
        <w:jc w:val="center"/>
        <w:rPr>
          <w:b/>
          <w:bCs/>
        </w:rPr>
      </w:pPr>
    </w:p>
    <w:p w:rsidR="00266755" w:rsidRPr="0053635E" w:rsidRDefault="00266755" w:rsidP="00BD0633">
      <w:pPr>
        <w:keepNext/>
        <w:keepLines/>
        <w:widowControl/>
        <w:tabs>
          <w:tab w:val="left" w:pos="720"/>
          <w:tab w:val="left" w:pos="1440"/>
          <w:tab w:val="center" w:pos="5400"/>
        </w:tabs>
        <w:suppressAutoHyphens/>
        <w:rPr>
          <w:b/>
          <w:bCs/>
          <w:highlight w:val="yellow"/>
        </w:rPr>
      </w:pPr>
    </w:p>
    <w:p w:rsidR="00CA14BE" w:rsidRPr="0053635E" w:rsidRDefault="00CA14BE" w:rsidP="00744A7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rPr>
          <w:highlight w:val="yellow"/>
        </w:rPr>
      </w:pPr>
    </w:p>
    <w:p w:rsidR="00266755" w:rsidRPr="00B71C04" w:rsidRDefault="00744A72" w:rsidP="00266755">
      <w:pPr>
        <w:keepNext/>
        <w:keepLines/>
        <w:widowControl/>
        <w:tabs>
          <w:tab w:val="left" w:pos="-720"/>
          <w:tab w:val="left" w:pos="720"/>
          <w:tab w:val="left" w:pos="1440"/>
        </w:tabs>
        <w:suppressAutoHyphens/>
        <w:spacing w:after="240"/>
        <w:rPr>
          <w:sz w:val="22"/>
        </w:rPr>
      </w:pPr>
      <w:r w:rsidRPr="0053635E">
        <w:rPr>
          <w:highlight w:val="yellow"/>
        </w:rPr>
        <w:br w:type="page"/>
      </w:r>
      <w:r w:rsidR="00266755" w:rsidRPr="00B71C04">
        <w:rPr>
          <w:b/>
          <w:bCs/>
          <w:sz w:val="22"/>
        </w:rPr>
        <w:lastRenderedPageBreak/>
        <w:t>1</w:t>
      </w:r>
      <w:r w:rsidR="00967665" w:rsidRPr="00B71C04">
        <w:rPr>
          <w:b/>
          <w:bCs/>
          <w:sz w:val="22"/>
        </w:rPr>
        <w:t>4</w:t>
      </w:r>
      <w:r w:rsidR="00266755" w:rsidRPr="00B71C04">
        <w:rPr>
          <w:b/>
          <w:bCs/>
          <w:sz w:val="22"/>
        </w:rPr>
        <w:t>. Guarantor Financial Information (continued)</w:t>
      </w:r>
    </w:p>
    <w:p w:rsidR="00266755" w:rsidRPr="00C962FA" w:rsidRDefault="00266755" w:rsidP="00266755">
      <w:pPr>
        <w:keepNext/>
        <w:keepLines/>
        <w:widowControl/>
        <w:tabs>
          <w:tab w:val="left" w:pos="720"/>
          <w:tab w:val="left" w:pos="1440"/>
          <w:tab w:val="center" w:pos="5400"/>
        </w:tabs>
        <w:suppressAutoHyphens/>
        <w:jc w:val="center"/>
      </w:pPr>
    </w:p>
    <w:p w:rsidR="00266755" w:rsidRPr="00C962FA" w:rsidRDefault="00266755" w:rsidP="00266755">
      <w:pPr>
        <w:keepNext/>
        <w:keepLines/>
        <w:widowControl/>
        <w:tabs>
          <w:tab w:val="left" w:pos="720"/>
          <w:tab w:val="left" w:pos="1440"/>
          <w:tab w:val="center" w:pos="5400"/>
        </w:tabs>
        <w:suppressAutoHyphens/>
        <w:jc w:val="center"/>
      </w:pPr>
    </w:p>
    <w:p w:rsidR="00266755" w:rsidRPr="00C962FA" w:rsidRDefault="00266755" w:rsidP="00266755">
      <w:pPr>
        <w:keepNext/>
        <w:keepLines/>
        <w:widowControl/>
        <w:tabs>
          <w:tab w:val="left" w:pos="720"/>
          <w:tab w:val="left" w:pos="1440"/>
          <w:tab w:val="center" w:pos="5400"/>
        </w:tabs>
        <w:suppressAutoHyphens/>
        <w:jc w:val="center"/>
        <w:rPr>
          <w:b/>
          <w:bCs/>
        </w:rPr>
      </w:pPr>
      <w:r w:rsidRPr="00C962FA">
        <w:rPr>
          <w:b/>
          <w:bCs/>
        </w:rPr>
        <w:t>TRAC Intermodal LLC</w:t>
      </w:r>
    </w:p>
    <w:p w:rsidR="00266755" w:rsidRPr="00C962FA" w:rsidRDefault="00266755" w:rsidP="00266755">
      <w:pPr>
        <w:widowControl/>
        <w:tabs>
          <w:tab w:val="center" w:pos="5400"/>
        </w:tabs>
        <w:suppressAutoHyphens/>
        <w:jc w:val="center"/>
        <w:rPr>
          <w:b/>
          <w:bCs/>
        </w:rPr>
      </w:pPr>
      <w:r w:rsidRPr="00C962FA">
        <w:rPr>
          <w:b/>
          <w:bCs/>
        </w:rPr>
        <w:t>Condensed Consolidating Statement of Cash Flows</w:t>
      </w:r>
    </w:p>
    <w:p w:rsidR="00266755" w:rsidRPr="00C962FA" w:rsidRDefault="00266755" w:rsidP="00266755">
      <w:pPr>
        <w:widowControl/>
        <w:tabs>
          <w:tab w:val="center" w:pos="5400"/>
        </w:tabs>
        <w:suppressAutoHyphens/>
        <w:spacing w:after="240"/>
        <w:jc w:val="center"/>
        <w:rPr>
          <w:b/>
          <w:bCs/>
        </w:rPr>
      </w:pPr>
      <w:r w:rsidRPr="00C962FA">
        <w:rPr>
          <w:b/>
          <w:bCs/>
        </w:rPr>
        <w:t xml:space="preserve">For The </w:t>
      </w:r>
      <w:r w:rsidR="00C962FA" w:rsidRPr="00C962FA">
        <w:rPr>
          <w:b/>
          <w:bCs/>
        </w:rPr>
        <w:t>Three</w:t>
      </w:r>
      <w:r w:rsidRPr="00C962FA">
        <w:rPr>
          <w:b/>
          <w:bCs/>
        </w:rPr>
        <w:t xml:space="preserve"> Months Ended </w:t>
      </w:r>
      <w:r w:rsidR="00C962FA" w:rsidRPr="00C962FA">
        <w:rPr>
          <w:b/>
          <w:bCs/>
        </w:rPr>
        <w:t>March</w:t>
      </w:r>
      <w:r w:rsidRPr="00C962FA">
        <w:rPr>
          <w:b/>
          <w:bCs/>
        </w:rPr>
        <w:t> 3</w:t>
      </w:r>
      <w:r w:rsidR="00C962FA" w:rsidRPr="00C962FA">
        <w:rPr>
          <w:b/>
          <w:bCs/>
        </w:rPr>
        <w:t>1</w:t>
      </w:r>
      <w:r w:rsidRPr="00C962FA">
        <w:rPr>
          <w:b/>
          <w:bCs/>
        </w:rPr>
        <w:t>, 201</w:t>
      </w:r>
      <w:r w:rsidR="00C962FA" w:rsidRPr="00C962FA">
        <w:rPr>
          <w:b/>
          <w:bCs/>
        </w:rPr>
        <w:t>3</w:t>
      </w:r>
    </w:p>
    <w:tbl>
      <w:tblPr>
        <w:tblW w:w="5000" w:type="pct"/>
        <w:jc w:val="center"/>
        <w:tblCellMar>
          <w:left w:w="72" w:type="dxa"/>
          <w:right w:w="72" w:type="dxa"/>
        </w:tblCellMar>
        <w:tblLook w:val="0000" w:firstRow="0" w:lastRow="0" w:firstColumn="0" w:lastColumn="0" w:noHBand="0" w:noVBand="0"/>
      </w:tblPr>
      <w:tblGrid>
        <w:gridCol w:w="3884"/>
        <w:gridCol w:w="1268"/>
        <w:gridCol w:w="1268"/>
        <w:gridCol w:w="1268"/>
        <w:gridCol w:w="1268"/>
        <w:gridCol w:w="1268"/>
      </w:tblGrid>
      <w:tr w:rsidR="00266755" w:rsidRPr="0053635E" w:rsidTr="00266755">
        <w:trPr>
          <w:cantSplit/>
          <w:jc w:val="center"/>
        </w:trPr>
        <w:tc>
          <w:tcPr>
            <w:tcW w:w="1899" w:type="pct"/>
            <w:tcBorders>
              <w:top w:val="nil"/>
              <w:left w:val="nil"/>
              <w:bottom w:val="nil"/>
              <w:right w:val="nil"/>
            </w:tcBorders>
            <w:vAlign w:val="bottom"/>
          </w:tcPr>
          <w:p w:rsidR="00266755" w:rsidRPr="00C962FA"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p>
        </w:tc>
        <w:tc>
          <w:tcPr>
            <w:tcW w:w="620" w:type="pct"/>
            <w:tcBorders>
              <w:top w:val="nil"/>
              <w:left w:val="nil"/>
              <w:bottom w:val="nil"/>
              <w:right w:val="nil"/>
            </w:tcBorders>
            <w:vAlign w:val="bottom"/>
          </w:tcPr>
          <w:p w:rsidR="00266755" w:rsidRPr="00C962FA" w:rsidRDefault="00E25893" w:rsidP="0067352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C962FA">
              <w:rPr>
                <w:b/>
                <w:bCs/>
                <w:sz w:val="16"/>
                <w:szCs w:val="18"/>
              </w:rPr>
              <w:t>Comp</w:t>
            </w:r>
            <w:r w:rsidR="00673525" w:rsidRPr="00C962FA">
              <w:rPr>
                <w:b/>
                <w:bCs/>
                <w:sz w:val="16"/>
                <w:szCs w:val="18"/>
              </w:rPr>
              <w:t>an</w:t>
            </w:r>
            <w:r w:rsidRPr="00C962FA">
              <w:rPr>
                <w:b/>
                <w:bCs/>
                <w:sz w:val="16"/>
                <w:szCs w:val="18"/>
              </w:rPr>
              <w:t>y</w:t>
            </w:r>
            <w:r w:rsidR="00266755" w:rsidRPr="00C962FA">
              <w:rPr>
                <w:b/>
                <w:bCs/>
                <w:sz w:val="16"/>
                <w:szCs w:val="18"/>
              </w:rPr>
              <w:br/>
              <w:t>Parent</w:t>
            </w:r>
          </w:p>
        </w:tc>
        <w:tc>
          <w:tcPr>
            <w:tcW w:w="620" w:type="pct"/>
            <w:tcBorders>
              <w:top w:val="nil"/>
              <w:left w:val="nil"/>
              <w:bottom w:val="nil"/>
              <w:right w:val="nil"/>
            </w:tcBorders>
            <w:vAlign w:val="bottom"/>
          </w:tcPr>
          <w:p w:rsidR="00266755" w:rsidRPr="00C962FA" w:rsidRDefault="00266755"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C962FA">
              <w:rPr>
                <w:b/>
                <w:bCs/>
                <w:sz w:val="16"/>
                <w:szCs w:val="18"/>
              </w:rPr>
              <w:t>Guarantor</w:t>
            </w:r>
            <w:r w:rsidRPr="00C962FA">
              <w:rPr>
                <w:b/>
                <w:bCs/>
                <w:sz w:val="16"/>
                <w:szCs w:val="18"/>
              </w:rPr>
              <w:br/>
              <w:t>Subsidiaries</w:t>
            </w:r>
          </w:p>
        </w:tc>
        <w:tc>
          <w:tcPr>
            <w:tcW w:w="620" w:type="pct"/>
            <w:tcBorders>
              <w:top w:val="nil"/>
              <w:left w:val="nil"/>
              <w:bottom w:val="nil"/>
              <w:right w:val="nil"/>
            </w:tcBorders>
            <w:vAlign w:val="bottom"/>
          </w:tcPr>
          <w:p w:rsidR="00266755" w:rsidRPr="00C962FA" w:rsidRDefault="00266755"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C962FA">
              <w:rPr>
                <w:b/>
                <w:bCs/>
                <w:sz w:val="16"/>
                <w:szCs w:val="18"/>
              </w:rPr>
              <w:t>Non-Guarantor</w:t>
            </w:r>
            <w:r w:rsidRPr="00C962FA">
              <w:rPr>
                <w:b/>
                <w:bCs/>
                <w:sz w:val="16"/>
                <w:szCs w:val="18"/>
              </w:rPr>
              <w:br/>
              <w:t>Subsidiaries</w:t>
            </w:r>
          </w:p>
        </w:tc>
        <w:tc>
          <w:tcPr>
            <w:tcW w:w="620" w:type="pct"/>
            <w:tcBorders>
              <w:top w:val="nil"/>
              <w:left w:val="nil"/>
              <w:bottom w:val="nil"/>
              <w:right w:val="nil"/>
            </w:tcBorders>
            <w:vAlign w:val="bottom"/>
          </w:tcPr>
          <w:p w:rsidR="00266755" w:rsidRPr="00C962FA" w:rsidRDefault="00266755"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C962FA">
              <w:rPr>
                <w:b/>
                <w:bCs/>
                <w:sz w:val="16"/>
                <w:szCs w:val="18"/>
              </w:rPr>
              <w:t>Eliminations</w:t>
            </w:r>
          </w:p>
        </w:tc>
        <w:tc>
          <w:tcPr>
            <w:tcW w:w="620" w:type="pct"/>
            <w:tcBorders>
              <w:top w:val="nil"/>
              <w:left w:val="nil"/>
              <w:bottom w:val="nil"/>
              <w:right w:val="nil"/>
            </w:tcBorders>
            <w:vAlign w:val="bottom"/>
          </w:tcPr>
          <w:p w:rsidR="00266755" w:rsidRPr="00C962FA" w:rsidRDefault="00266755"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C962FA">
              <w:rPr>
                <w:b/>
                <w:bCs/>
                <w:sz w:val="16"/>
                <w:szCs w:val="18"/>
              </w:rPr>
              <w:t>Consolidated</w:t>
            </w:r>
          </w:p>
        </w:tc>
      </w:tr>
      <w:tr w:rsidR="00266755" w:rsidRPr="0053635E" w:rsidTr="00266755">
        <w:trPr>
          <w:cantSplit/>
          <w:jc w:val="center"/>
        </w:trPr>
        <w:tc>
          <w:tcPr>
            <w:tcW w:w="1899" w:type="pct"/>
            <w:tcBorders>
              <w:top w:val="nil"/>
              <w:left w:val="nil"/>
              <w:bottom w:val="nil"/>
              <w:right w:val="nil"/>
            </w:tcBorders>
          </w:tcPr>
          <w:p w:rsidR="00266755" w:rsidRPr="00D310A7" w:rsidRDefault="00266755" w:rsidP="00C962FA">
            <w:pPr>
              <w:widowControl/>
              <w:suppressAutoHyphens/>
              <w:ind w:left="200" w:hanging="200"/>
            </w:pPr>
            <w:r w:rsidRPr="00D310A7">
              <w:rPr>
                <w:b/>
                <w:bCs/>
              </w:rPr>
              <w:t>Net cash</w:t>
            </w:r>
            <w:r w:rsidR="00E27695" w:rsidRPr="00D310A7">
              <w:rPr>
                <w:b/>
                <w:bCs/>
              </w:rPr>
              <w:t xml:space="preserve"> provided by</w:t>
            </w:r>
            <w:r w:rsidR="00C962FA" w:rsidRPr="00D310A7">
              <w:rPr>
                <w:b/>
                <w:bCs/>
              </w:rPr>
              <w:t xml:space="preserve"> (used in)</w:t>
            </w:r>
            <w:r w:rsidRPr="00D310A7">
              <w:rPr>
                <w:b/>
                <w:bCs/>
              </w:rPr>
              <w:t xml:space="preserve"> operating activities</w:t>
            </w:r>
            <w:r w:rsidRPr="00D310A7">
              <w:tab/>
            </w:r>
          </w:p>
        </w:tc>
        <w:tc>
          <w:tcPr>
            <w:tcW w:w="620" w:type="pct"/>
            <w:tcBorders>
              <w:top w:val="nil"/>
              <w:left w:val="nil"/>
              <w:bottom w:val="nil"/>
              <w:right w:val="nil"/>
            </w:tcBorders>
            <w:vAlign w:val="bottom"/>
          </w:tcPr>
          <w:p w:rsidR="00266755" w:rsidRPr="00C962FA" w:rsidRDefault="00266755" w:rsidP="00376D7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r w:rsidR="00697FEE" w:rsidRPr="00C962FA">
              <w:t xml:space="preserve">  </w:t>
            </w:r>
            <w:r w:rsidR="00376D7E">
              <w:t xml:space="preserve"> </w:t>
            </w:r>
            <w:r w:rsidR="00697FEE" w:rsidRPr="00C962FA">
              <w:t xml:space="preserve">             —</w:t>
            </w:r>
            <w:r w:rsidR="005F508E" w:rsidRPr="00C962FA">
              <w:t xml:space="preserve">   </w:t>
            </w:r>
          </w:p>
        </w:tc>
        <w:tc>
          <w:tcPr>
            <w:tcW w:w="620" w:type="pct"/>
            <w:tcBorders>
              <w:top w:val="nil"/>
              <w:left w:val="nil"/>
              <w:bottom w:val="nil"/>
              <w:right w:val="nil"/>
            </w:tcBorders>
            <w:vAlign w:val="bottom"/>
          </w:tcPr>
          <w:p w:rsidR="00266755" w:rsidRPr="00C962FA" w:rsidRDefault="00266755" w:rsidP="004F57E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r w:rsidR="00383186" w:rsidRPr="00C962FA">
              <w:t xml:space="preserve"> </w:t>
            </w:r>
            <w:r w:rsidR="005F508E" w:rsidRPr="00C962FA">
              <w:t xml:space="preserve"> </w:t>
            </w:r>
            <w:r w:rsidR="004F57E8">
              <w:t xml:space="preserve">      </w:t>
            </w:r>
            <w:r w:rsidR="007F6472" w:rsidRPr="00C962FA">
              <w:t xml:space="preserve"> </w:t>
            </w:r>
            <w:r w:rsidR="005F508E" w:rsidRPr="00C962FA">
              <w:t xml:space="preserve">  </w:t>
            </w:r>
            <w:r w:rsidR="00C962FA" w:rsidRPr="00C962FA">
              <w:t>4</w:t>
            </w:r>
            <w:r w:rsidRPr="00C962FA">
              <w:t>,</w:t>
            </w:r>
            <w:r w:rsidR="00C962FA" w:rsidRPr="00C962FA">
              <w:t>348</w:t>
            </w:r>
          </w:p>
        </w:tc>
        <w:tc>
          <w:tcPr>
            <w:tcW w:w="620" w:type="pct"/>
            <w:tcBorders>
              <w:top w:val="nil"/>
              <w:left w:val="nil"/>
              <w:bottom w:val="nil"/>
              <w:right w:val="nil"/>
            </w:tcBorders>
            <w:vAlign w:val="bottom"/>
          </w:tcPr>
          <w:p w:rsidR="00266755" w:rsidRPr="004D6121" w:rsidRDefault="00266755"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r w:rsidR="005F508E" w:rsidRPr="004D6121">
              <w:t xml:space="preserve"> </w:t>
            </w:r>
            <w:r w:rsidR="00383186" w:rsidRPr="004D6121">
              <w:t xml:space="preserve">    </w:t>
            </w:r>
            <w:r w:rsidR="005F508E" w:rsidRPr="004D6121">
              <w:t xml:space="preserve">      </w:t>
            </w:r>
            <w:r w:rsidR="00C962FA" w:rsidRPr="004D6121">
              <w:t>(380)</w:t>
            </w:r>
          </w:p>
        </w:tc>
        <w:tc>
          <w:tcPr>
            <w:tcW w:w="620" w:type="pct"/>
            <w:tcBorders>
              <w:top w:val="nil"/>
              <w:left w:val="nil"/>
              <w:bottom w:val="nil"/>
              <w:right w:val="nil"/>
            </w:tcBorders>
            <w:vAlign w:val="bottom"/>
          </w:tcPr>
          <w:p w:rsidR="00266755" w:rsidRPr="004D6121" w:rsidRDefault="00266755" w:rsidP="004D612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r w:rsidR="005F508E" w:rsidRPr="004D6121">
              <w:t xml:space="preserve">       </w:t>
            </w:r>
            <w:r w:rsidR="004D6121" w:rsidRPr="004D6121">
              <w:t xml:space="preserve">       447</w:t>
            </w:r>
          </w:p>
        </w:tc>
        <w:tc>
          <w:tcPr>
            <w:tcW w:w="620" w:type="pct"/>
            <w:tcBorders>
              <w:top w:val="nil"/>
              <w:left w:val="nil"/>
              <w:bottom w:val="nil"/>
              <w:right w:val="nil"/>
            </w:tcBorders>
            <w:vAlign w:val="bottom"/>
          </w:tcPr>
          <w:p w:rsidR="00266755" w:rsidRPr="00D310A7" w:rsidRDefault="00266755" w:rsidP="00BC51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10A7">
              <w:t>$</w:t>
            </w:r>
            <w:r w:rsidR="00BC51C0" w:rsidRPr="00D310A7">
              <w:t xml:space="preserve">     </w:t>
            </w:r>
            <w:r w:rsidR="005F508E" w:rsidRPr="00D310A7">
              <w:t xml:space="preserve"> </w:t>
            </w:r>
            <w:r w:rsidR="00383186" w:rsidRPr="00D310A7">
              <w:t xml:space="preserve"> </w:t>
            </w:r>
            <w:r w:rsidR="005F508E" w:rsidRPr="00D310A7">
              <w:t xml:space="preserve">    </w:t>
            </w:r>
            <w:r w:rsidR="00BC51C0" w:rsidRPr="00D310A7">
              <w:t>4,415</w:t>
            </w:r>
          </w:p>
        </w:tc>
      </w:tr>
      <w:tr w:rsidR="00266755" w:rsidRPr="0053635E" w:rsidTr="00266755">
        <w:trPr>
          <w:cantSplit/>
          <w:jc w:val="center"/>
        </w:trPr>
        <w:tc>
          <w:tcPr>
            <w:tcW w:w="1899" w:type="pct"/>
            <w:tcBorders>
              <w:top w:val="nil"/>
              <w:left w:val="nil"/>
              <w:bottom w:val="nil"/>
              <w:right w:val="nil"/>
            </w:tcBorders>
          </w:tcPr>
          <w:p w:rsidR="00266755" w:rsidRPr="00D310A7"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D310A7">
              <w:rPr>
                <w:b/>
                <w:bCs/>
              </w:rPr>
              <w:t>Investing activities:</w:t>
            </w:r>
          </w:p>
        </w:tc>
        <w:tc>
          <w:tcPr>
            <w:tcW w:w="620" w:type="pct"/>
            <w:tcBorders>
              <w:top w:val="nil"/>
              <w:left w:val="nil"/>
              <w:bottom w:val="nil"/>
              <w:right w:val="nil"/>
            </w:tcBorders>
            <w:vAlign w:val="bottom"/>
          </w:tcPr>
          <w:p w:rsidR="00266755" w:rsidRPr="00C962FA"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20" w:type="pct"/>
            <w:tcBorders>
              <w:top w:val="nil"/>
              <w:left w:val="nil"/>
              <w:bottom w:val="nil"/>
              <w:right w:val="nil"/>
            </w:tcBorders>
            <w:vAlign w:val="bottom"/>
          </w:tcPr>
          <w:p w:rsidR="00266755" w:rsidRPr="00C962FA"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20" w:type="pct"/>
            <w:tcBorders>
              <w:top w:val="nil"/>
              <w:left w:val="nil"/>
              <w:bottom w:val="nil"/>
              <w:right w:val="nil"/>
            </w:tcBorders>
            <w:vAlign w:val="bottom"/>
          </w:tcPr>
          <w:p w:rsidR="00266755" w:rsidRPr="00D310A7"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266755" w:rsidRPr="0053635E" w:rsidTr="00266755">
        <w:trPr>
          <w:cantSplit/>
          <w:jc w:val="center"/>
        </w:trPr>
        <w:tc>
          <w:tcPr>
            <w:tcW w:w="1899" w:type="pct"/>
            <w:tcBorders>
              <w:top w:val="nil"/>
              <w:left w:val="nil"/>
              <w:bottom w:val="nil"/>
              <w:right w:val="nil"/>
            </w:tcBorders>
          </w:tcPr>
          <w:p w:rsidR="00266755" w:rsidRPr="00D310A7" w:rsidRDefault="00266755" w:rsidP="0063141F">
            <w:pPr>
              <w:widowControl/>
              <w:suppressAutoHyphens/>
              <w:ind w:left="200" w:hanging="200"/>
            </w:pPr>
            <w:r w:rsidRPr="00D310A7">
              <w:t>Proceeds from sale of leasing equipment</w:t>
            </w:r>
            <w:r w:rsidRPr="00D310A7">
              <w:tab/>
            </w:r>
          </w:p>
        </w:tc>
        <w:tc>
          <w:tcPr>
            <w:tcW w:w="620" w:type="pct"/>
            <w:tcBorders>
              <w:top w:val="nil"/>
              <w:left w:val="nil"/>
              <w:bottom w:val="nil"/>
              <w:right w:val="nil"/>
            </w:tcBorders>
            <w:vAlign w:val="bottom"/>
          </w:tcPr>
          <w:p w:rsidR="00266755" w:rsidRPr="00C962FA"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p>
        </w:tc>
        <w:tc>
          <w:tcPr>
            <w:tcW w:w="620" w:type="pct"/>
            <w:tcBorders>
              <w:top w:val="nil"/>
              <w:left w:val="nil"/>
              <w:bottom w:val="nil"/>
              <w:right w:val="nil"/>
            </w:tcBorders>
            <w:vAlign w:val="bottom"/>
          </w:tcPr>
          <w:p w:rsidR="00266755" w:rsidRPr="00C962FA" w:rsidRDefault="00C962FA"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835</w:t>
            </w: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266755" w:rsidRPr="00D310A7" w:rsidRDefault="00BC51C0" w:rsidP="00BC51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10A7">
              <w:t>835</w:t>
            </w:r>
          </w:p>
        </w:tc>
      </w:tr>
      <w:tr w:rsidR="00266755" w:rsidRPr="0053635E" w:rsidTr="00266755">
        <w:trPr>
          <w:cantSplit/>
          <w:jc w:val="center"/>
        </w:trPr>
        <w:tc>
          <w:tcPr>
            <w:tcW w:w="1899" w:type="pct"/>
            <w:tcBorders>
              <w:top w:val="nil"/>
              <w:left w:val="nil"/>
              <w:bottom w:val="nil"/>
              <w:right w:val="nil"/>
            </w:tcBorders>
          </w:tcPr>
          <w:p w:rsidR="00266755" w:rsidRPr="00D310A7" w:rsidRDefault="00266755" w:rsidP="0063141F">
            <w:pPr>
              <w:widowControl/>
              <w:suppressAutoHyphens/>
              <w:ind w:left="200" w:hanging="200"/>
            </w:pPr>
            <w:r w:rsidRPr="00D310A7">
              <w:t>Collections on net investment in direct finance leases, net of interest earned</w:t>
            </w:r>
            <w:r w:rsidRPr="00D310A7">
              <w:tab/>
            </w:r>
          </w:p>
        </w:tc>
        <w:tc>
          <w:tcPr>
            <w:tcW w:w="620" w:type="pct"/>
            <w:tcBorders>
              <w:top w:val="nil"/>
              <w:left w:val="nil"/>
              <w:bottom w:val="nil"/>
              <w:right w:val="nil"/>
            </w:tcBorders>
            <w:vAlign w:val="bottom"/>
          </w:tcPr>
          <w:p w:rsidR="00266755" w:rsidRPr="00C962FA"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p>
        </w:tc>
        <w:tc>
          <w:tcPr>
            <w:tcW w:w="620" w:type="pct"/>
            <w:tcBorders>
              <w:top w:val="nil"/>
              <w:left w:val="nil"/>
              <w:bottom w:val="nil"/>
              <w:right w:val="nil"/>
            </w:tcBorders>
            <w:vAlign w:val="bottom"/>
          </w:tcPr>
          <w:p w:rsidR="00266755" w:rsidRPr="00C962FA" w:rsidRDefault="00C962FA"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1</w:t>
            </w:r>
            <w:r w:rsidR="00266755" w:rsidRPr="00C962FA">
              <w:t>,</w:t>
            </w:r>
            <w:r w:rsidRPr="00C962FA">
              <w:t>907</w:t>
            </w: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266755" w:rsidRPr="004D6121" w:rsidRDefault="004D6121" w:rsidP="004D612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(447)</w:t>
            </w:r>
          </w:p>
        </w:tc>
        <w:tc>
          <w:tcPr>
            <w:tcW w:w="620" w:type="pct"/>
            <w:tcBorders>
              <w:top w:val="nil"/>
              <w:left w:val="nil"/>
              <w:bottom w:val="nil"/>
              <w:right w:val="nil"/>
            </w:tcBorders>
            <w:vAlign w:val="bottom"/>
          </w:tcPr>
          <w:p w:rsidR="00266755" w:rsidRPr="00D310A7" w:rsidRDefault="00BC51C0" w:rsidP="00BC51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10A7">
              <w:t>1</w:t>
            </w:r>
            <w:r w:rsidR="00266755" w:rsidRPr="00D310A7">
              <w:t>,</w:t>
            </w:r>
            <w:r w:rsidRPr="00D310A7">
              <w:t>460</w:t>
            </w:r>
          </w:p>
        </w:tc>
      </w:tr>
      <w:tr w:rsidR="00266755" w:rsidRPr="0053635E" w:rsidTr="00266755">
        <w:trPr>
          <w:cantSplit/>
          <w:jc w:val="center"/>
        </w:trPr>
        <w:tc>
          <w:tcPr>
            <w:tcW w:w="1899" w:type="pct"/>
            <w:tcBorders>
              <w:top w:val="nil"/>
              <w:left w:val="nil"/>
              <w:bottom w:val="nil"/>
              <w:right w:val="nil"/>
            </w:tcBorders>
          </w:tcPr>
          <w:p w:rsidR="00266755" w:rsidRPr="00D310A7" w:rsidRDefault="00266755" w:rsidP="0063141F">
            <w:pPr>
              <w:widowControl/>
              <w:suppressAutoHyphens/>
              <w:ind w:left="200" w:hanging="200"/>
            </w:pPr>
            <w:r w:rsidRPr="00D310A7">
              <w:t>Purchase of leasing equipment</w:t>
            </w:r>
            <w:r w:rsidRPr="00D310A7">
              <w:tab/>
            </w:r>
          </w:p>
        </w:tc>
        <w:tc>
          <w:tcPr>
            <w:tcW w:w="620" w:type="pct"/>
            <w:tcBorders>
              <w:top w:val="nil"/>
              <w:left w:val="nil"/>
              <w:bottom w:val="nil"/>
              <w:right w:val="nil"/>
            </w:tcBorders>
            <w:vAlign w:val="bottom"/>
          </w:tcPr>
          <w:p w:rsidR="00266755" w:rsidRPr="00C962FA"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p>
        </w:tc>
        <w:tc>
          <w:tcPr>
            <w:tcW w:w="620" w:type="pct"/>
            <w:tcBorders>
              <w:top w:val="nil"/>
              <w:left w:val="nil"/>
              <w:bottom w:val="nil"/>
              <w:right w:val="nil"/>
            </w:tcBorders>
            <w:vAlign w:val="bottom"/>
          </w:tcPr>
          <w:p w:rsidR="00266755" w:rsidRPr="00C962FA" w:rsidRDefault="00266755"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r w:rsidR="004D35A3" w:rsidRPr="00C962FA">
              <w:t>3</w:t>
            </w:r>
            <w:r w:rsidR="00C962FA" w:rsidRPr="00C962FA">
              <w:t>3</w:t>
            </w:r>
            <w:r w:rsidRPr="00C962FA">
              <w:t>,</w:t>
            </w:r>
            <w:r w:rsidR="00C962FA" w:rsidRPr="00C962FA">
              <w:t>478</w:t>
            </w:r>
            <w:r w:rsidRPr="00C962FA">
              <w:t>)</w:t>
            </w: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266755" w:rsidRPr="00D310A7" w:rsidRDefault="00266755" w:rsidP="00BC51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10A7">
              <w:t>(</w:t>
            </w:r>
            <w:r w:rsidR="00E27695" w:rsidRPr="00D310A7">
              <w:t>3</w:t>
            </w:r>
            <w:r w:rsidR="00BC51C0" w:rsidRPr="00D310A7">
              <w:t>3</w:t>
            </w:r>
            <w:r w:rsidRPr="00D310A7">
              <w:t>,</w:t>
            </w:r>
            <w:r w:rsidR="00BC51C0" w:rsidRPr="00D310A7">
              <w:t>478)</w:t>
            </w:r>
          </w:p>
        </w:tc>
      </w:tr>
      <w:tr w:rsidR="00266755" w:rsidRPr="0053635E" w:rsidTr="00266755">
        <w:trPr>
          <w:cantSplit/>
          <w:jc w:val="center"/>
        </w:trPr>
        <w:tc>
          <w:tcPr>
            <w:tcW w:w="1899" w:type="pct"/>
            <w:tcBorders>
              <w:top w:val="nil"/>
              <w:left w:val="nil"/>
              <w:bottom w:val="nil"/>
              <w:right w:val="nil"/>
            </w:tcBorders>
          </w:tcPr>
          <w:p w:rsidR="00266755" w:rsidRPr="00D310A7" w:rsidRDefault="00266755" w:rsidP="0063141F">
            <w:pPr>
              <w:widowControl/>
              <w:suppressAutoHyphens/>
              <w:spacing w:after="20"/>
              <w:ind w:left="200" w:hanging="200"/>
            </w:pPr>
            <w:r w:rsidRPr="00D310A7">
              <w:t>Purchase of fixed asset</w:t>
            </w:r>
            <w:r w:rsidR="00AD18D4" w:rsidRPr="00D310A7">
              <w:t>s</w:t>
            </w:r>
            <w:r w:rsidRPr="00D310A7">
              <w:tab/>
            </w:r>
          </w:p>
        </w:tc>
        <w:tc>
          <w:tcPr>
            <w:tcW w:w="620" w:type="pct"/>
            <w:tcBorders>
              <w:top w:val="nil"/>
              <w:left w:val="nil"/>
              <w:bottom w:val="nil"/>
              <w:right w:val="nil"/>
            </w:tcBorders>
            <w:vAlign w:val="bottom"/>
          </w:tcPr>
          <w:p w:rsidR="00266755" w:rsidRPr="00C962FA" w:rsidRDefault="00266755"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C962FA">
              <w:t>—</w:t>
            </w:r>
          </w:p>
        </w:tc>
        <w:tc>
          <w:tcPr>
            <w:tcW w:w="620" w:type="pct"/>
            <w:tcBorders>
              <w:top w:val="nil"/>
              <w:left w:val="nil"/>
              <w:bottom w:val="nil"/>
              <w:right w:val="nil"/>
            </w:tcBorders>
            <w:vAlign w:val="bottom"/>
          </w:tcPr>
          <w:p w:rsidR="00266755" w:rsidRPr="00C962FA" w:rsidRDefault="00266755" w:rsidP="00C962F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C962FA">
              <w:t>(</w:t>
            </w:r>
            <w:r w:rsidR="00C962FA" w:rsidRPr="00C962FA">
              <w:t>783</w:t>
            </w:r>
            <w:r w:rsidRPr="00C962FA">
              <w:t>)</w:t>
            </w:r>
          </w:p>
        </w:tc>
        <w:tc>
          <w:tcPr>
            <w:tcW w:w="620" w:type="pct"/>
            <w:tcBorders>
              <w:top w:val="nil"/>
              <w:left w:val="nil"/>
              <w:bottom w:val="nil"/>
              <w:right w:val="nil"/>
            </w:tcBorders>
            <w:vAlign w:val="bottom"/>
          </w:tcPr>
          <w:p w:rsidR="00266755" w:rsidRPr="004D6121" w:rsidRDefault="00266755"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4D6121">
              <w:t>—</w:t>
            </w:r>
          </w:p>
        </w:tc>
        <w:tc>
          <w:tcPr>
            <w:tcW w:w="620" w:type="pct"/>
            <w:tcBorders>
              <w:top w:val="nil"/>
              <w:left w:val="nil"/>
              <w:bottom w:val="nil"/>
              <w:right w:val="nil"/>
            </w:tcBorders>
            <w:vAlign w:val="bottom"/>
          </w:tcPr>
          <w:p w:rsidR="00266755" w:rsidRPr="004D6121" w:rsidRDefault="00266755"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4D6121">
              <w:t>—</w:t>
            </w:r>
          </w:p>
        </w:tc>
        <w:tc>
          <w:tcPr>
            <w:tcW w:w="620" w:type="pct"/>
            <w:tcBorders>
              <w:top w:val="nil"/>
              <w:left w:val="nil"/>
              <w:bottom w:val="nil"/>
              <w:right w:val="nil"/>
            </w:tcBorders>
            <w:vAlign w:val="bottom"/>
          </w:tcPr>
          <w:p w:rsidR="00266755" w:rsidRPr="00D310A7" w:rsidRDefault="00266755" w:rsidP="00BC51C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310A7">
              <w:t>(</w:t>
            </w:r>
            <w:r w:rsidR="00BC51C0" w:rsidRPr="00D310A7">
              <w:t>783</w:t>
            </w:r>
            <w:r w:rsidRPr="00D310A7">
              <w:t>)</w:t>
            </w:r>
          </w:p>
        </w:tc>
      </w:tr>
      <w:tr w:rsidR="00266755" w:rsidRPr="0053635E" w:rsidTr="00266755">
        <w:trPr>
          <w:cantSplit/>
          <w:jc w:val="center"/>
        </w:trPr>
        <w:tc>
          <w:tcPr>
            <w:tcW w:w="1899" w:type="pct"/>
            <w:tcBorders>
              <w:top w:val="nil"/>
              <w:left w:val="nil"/>
              <w:bottom w:val="nil"/>
              <w:right w:val="nil"/>
            </w:tcBorders>
          </w:tcPr>
          <w:p w:rsidR="00266755" w:rsidRPr="00D310A7" w:rsidRDefault="00266755" w:rsidP="000142FD">
            <w:pPr>
              <w:widowControl/>
              <w:suppressAutoHyphens/>
              <w:ind w:left="200" w:hanging="200"/>
            </w:pPr>
            <w:r w:rsidRPr="00D310A7">
              <w:rPr>
                <w:b/>
                <w:bCs/>
              </w:rPr>
              <w:t>Net cash used in</w:t>
            </w:r>
            <w:r w:rsidR="00BB74AD" w:rsidRPr="00D310A7">
              <w:rPr>
                <w:b/>
                <w:bCs/>
              </w:rPr>
              <w:t xml:space="preserve"> </w:t>
            </w:r>
            <w:r w:rsidRPr="00D310A7">
              <w:rPr>
                <w:b/>
                <w:bCs/>
              </w:rPr>
              <w:t>investing activities</w:t>
            </w:r>
            <w:r w:rsidRPr="00D310A7">
              <w:tab/>
            </w:r>
          </w:p>
        </w:tc>
        <w:tc>
          <w:tcPr>
            <w:tcW w:w="620" w:type="pct"/>
            <w:tcBorders>
              <w:top w:val="nil"/>
              <w:left w:val="nil"/>
              <w:bottom w:val="nil"/>
              <w:right w:val="nil"/>
            </w:tcBorders>
            <w:vAlign w:val="bottom"/>
          </w:tcPr>
          <w:p w:rsidR="00266755" w:rsidRPr="00C962FA" w:rsidRDefault="00C962FA" w:rsidP="00697FE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p>
        </w:tc>
        <w:tc>
          <w:tcPr>
            <w:tcW w:w="620" w:type="pct"/>
            <w:tcBorders>
              <w:top w:val="nil"/>
              <w:left w:val="nil"/>
              <w:bottom w:val="nil"/>
              <w:right w:val="nil"/>
            </w:tcBorders>
            <w:vAlign w:val="bottom"/>
          </w:tcPr>
          <w:p w:rsidR="00266755" w:rsidRPr="00C962FA" w:rsidRDefault="00266755"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r w:rsidR="00C962FA" w:rsidRPr="00C962FA">
              <w:t>31</w:t>
            </w:r>
            <w:r w:rsidRPr="00C962FA">
              <w:t>,</w:t>
            </w:r>
            <w:r w:rsidR="00C962FA" w:rsidRPr="00C962FA">
              <w:t>519</w:t>
            </w:r>
            <w:r w:rsidRPr="00C962FA">
              <w:t>)</w:t>
            </w: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266755" w:rsidRPr="004D6121" w:rsidRDefault="004D6121" w:rsidP="004D612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(447)</w:t>
            </w:r>
          </w:p>
        </w:tc>
        <w:tc>
          <w:tcPr>
            <w:tcW w:w="620" w:type="pct"/>
            <w:tcBorders>
              <w:top w:val="nil"/>
              <w:left w:val="nil"/>
              <w:bottom w:val="nil"/>
              <w:right w:val="nil"/>
            </w:tcBorders>
            <w:vAlign w:val="bottom"/>
          </w:tcPr>
          <w:p w:rsidR="00266755" w:rsidRPr="00D310A7" w:rsidRDefault="00266755" w:rsidP="00BC51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10A7">
              <w:t>(</w:t>
            </w:r>
            <w:r w:rsidR="00BC51C0" w:rsidRPr="00D310A7">
              <w:t>31</w:t>
            </w:r>
            <w:r w:rsidRPr="00D310A7">
              <w:t>,</w:t>
            </w:r>
            <w:r w:rsidR="00BC51C0" w:rsidRPr="00D310A7">
              <w:t>966</w:t>
            </w:r>
            <w:r w:rsidRPr="00D310A7">
              <w:t>)</w:t>
            </w:r>
          </w:p>
        </w:tc>
      </w:tr>
      <w:tr w:rsidR="00266755" w:rsidRPr="0053635E" w:rsidTr="00266755">
        <w:trPr>
          <w:cantSplit/>
          <w:jc w:val="center"/>
        </w:trPr>
        <w:tc>
          <w:tcPr>
            <w:tcW w:w="1899" w:type="pct"/>
            <w:tcBorders>
              <w:top w:val="nil"/>
              <w:left w:val="nil"/>
              <w:bottom w:val="nil"/>
              <w:right w:val="nil"/>
            </w:tcBorders>
          </w:tcPr>
          <w:p w:rsidR="00266755" w:rsidRPr="00D310A7"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D310A7">
              <w:rPr>
                <w:b/>
                <w:bCs/>
              </w:rPr>
              <w:t>Financing activities:</w:t>
            </w:r>
          </w:p>
        </w:tc>
        <w:tc>
          <w:tcPr>
            <w:tcW w:w="620" w:type="pct"/>
            <w:tcBorders>
              <w:top w:val="nil"/>
              <w:left w:val="nil"/>
              <w:bottom w:val="nil"/>
              <w:right w:val="nil"/>
            </w:tcBorders>
            <w:vAlign w:val="bottom"/>
          </w:tcPr>
          <w:p w:rsidR="00266755" w:rsidRPr="00C962FA"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20" w:type="pct"/>
            <w:tcBorders>
              <w:top w:val="nil"/>
              <w:left w:val="nil"/>
              <w:bottom w:val="nil"/>
              <w:right w:val="nil"/>
            </w:tcBorders>
            <w:vAlign w:val="bottom"/>
          </w:tcPr>
          <w:p w:rsidR="00266755" w:rsidRPr="00C962FA"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620" w:type="pct"/>
            <w:tcBorders>
              <w:top w:val="nil"/>
              <w:left w:val="nil"/>
              <w:bottom w:val="nil"/>
              <w:right w:val="nil"/>
            </w:tcBorders>
            <w:vAlign w:val="bottom"/>
          </w:tcPr>
          <w:p w:rsidR="00266755" w:rsidRPr="00D310A7"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266755" w:rsidRPr="0053635E" w:rsidTr="00266755">
        <w:trPr>
          <w:cantSplit/>
          <w:jc w:val="center"/>
        </w:trPr>
        <w:tc>
          <w:tcPr>
            <w:tcW w:w="1899" w:type="pct"/>
            <w:tcBorders>
              <w:top w:val="nil"/>
              <w:left w:val="nil"/>
              <w:bottom w:val="nil"/>
              <w:right w:val="nil"/>
            </w:tcBorders>
          </w:tcPr>
          <w:p w:rsidR="00266755" w:rsidRPr="00D310A7" w:rsidRDefault="00266755" w:rsidP="0063141F">
            <w:pPr>
              <w:widowControl/>
              <w:suppressAutoHyphens/>
              <w:ind w:left="200" w:hanging="200"/>
            </w:pPr>
            <w:r w:rsidRPr="00D310A7">
              <w:t>Proceeds from long-term debt</w:t>
            </w:r>
            <w:r w:rsidRPr="00D310A7">
              <w:tab/>
            </w:r>
          </w:p>
        </w:tc>
        <w:tc>
          <w:tcPr>
            <w:tcW w:w="620" w:type="pct"/>
            <w:tcBorders>
              <w:top w:val="nil"/>
              <w:left w:val="nil"/>
              <w:bottom w:val="nil"/>
              <w:right w:val="nil"/>
            </w:tcBorders>
            <w:vAlign w:val="bottom"/>
          </w:tcPr>
          <w:p w:rsidR="00266755" w:rsidRPr="00C962FA" w:rsidRDefault="00C962FA" w:rsidP="004D35A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p>
        </w:tc>
        <w:tc>
          <w:tcPr>
            <w:tcW w:w="620" w:type="pct"/>
            <w:tcBorders>
              <w:top w:val="nil"/>
              <w:left w:val="nil"/>
              <w:bottom w:val="nil"/>
              <w:right w:val="nil"/>
            </w:tcBorders>
            <w:vAlign w:val="bottom"/>
          </w:tcPr>
          <w:p w:rsidR="00266755" w:rsidRPr="00C962FA" w:rsidRDefault="00C962FA"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56</w:t>
            </w:r>
            <w:r w:rsidR="00266755" w:rsidRPr="00C962FA">
              <w:t>,</w:t>
            </w:r>
            <w:r w:rsidRPr="00C962FA">
              <w:t>000</w:t>
            </w: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266755" w:rsidRPr="004D6121" w:rsidRDefault="004D6121" w:rsidP="00E2769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266755" w:rsidRPr="00D310A7" w:rsidRDefault="00BC51C0" w:rsidP="00BC51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10A7">
              <w:t>56</w:t>
            </w:r>
            <w:r w:rsidR="00266755" w:rsidRPr="00D310A7">
              <w:t>,</w:t>
            </w:r>
            <w:r w:rsidRPr="00D310A7">
              <w:t>000</w:t>
            </w:r>
          </w:p>
        </w:tc>
      </w:tr>
      <w:tr w:rsidR="00266755" w:rsidRPr="0053635E" w:rsidTr="00266755">
        <w:trPr>
          <w:cantSplit/>
          <w:jc w:val="center"/>
        </w:trPr>
        <w:tc>
          <w:tcPr>
            <w:tcW w:w="1899" w:type="pct"/>
            <w:tcBorders>
              <w:top w:val="nil"/>
              <w:left w:val="nil"/>
              <w:bottom w:val="nil"/>
              <w:right w:val="nil"/>
            </w:tcBorders>
          </w:tcPr>
          <w:p w:rsidR="00266755" w:rsidRPr="00D310A7" w:rsidRDefault="00266755" w:rsidP="0063141F">
            <w:pPr>
              <w:widowControl/>
              <w:suppressAutoHyphens/>
              <w:ind w:left="200" w:hanging="200"/>
            </w:pPr>
            <w:r w:rsidRPr="00D310A7">
              <w:t>Repayment</w:t>
            </w:r>
            <w:r w:rsidR="00054BA1" w:rsidRPr="00D310A7">
              <w:t>s</w:t>
            </w:r>
            <w:r w:rsidRPr="00D310A7">
              <w:t xml:space="preserve"> of long-term debt</w:t>
            </w:r>
            <w:r w:rsidRPr="00D310A7">
              <w:tab/>
            </w:r>
          </w:p>
        </w:tc>
        <w:tc>
          <w:tcPr>
            <w:tcW w:w="620" w:type="pct"/>
            <w:tcBorders>
              <w:top w:val="nil"/>
              <w:left w:val="nil"/>
              <w:bottom w:val="nil"/>
              <w:right w:val="nil"/>
            </w:tcBorders>
            <w:vAlign w:val="bottom"/>
          </w:tcPr>
          <w:p w:rsidR="00266755" w:rsidRPr="00C962FA"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p>
        </w:tc>
        <w:tc>
          <w:tcPr>
            <w:tcW w:w="620" w:type="pct"/>
            <w:tcBorders>
              <w:top w:val="nil"/>
              <w:left w:val="nil"/>
              <w:bottom w:val="nil"/>
              <w:right w:val="nil"/>
            </w:tcBorders>
            <w:vAlign w:val="bottom"/>
          </w:tcPr>
          <w:p w:rsidR="00266755" w:rsidRPr="00C962FA" w:rsidRDefault="00266755"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r w:rsidR="00C962FA" w:rsidRPr="00C962FA">
              <w:t>31,908</w:t>
            </w:r>
            <w:r w:rsidRPr="00C962FA">
              <w:t>)</w:t>
            </w: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266755" w:rsidRPr="004D6121" w:rsidRDefault="00266755"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266755" w:rsidRPr="00D310A7" w:rsidRDefault="00266755" w:rsidP="00BC51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10A7">
              <w:t>(</w:t>
            </w:r>
            <w:r w:rsidR="00BC51C0" w:rsidRPr="00D310A7">
              <w:t>31</w:t>
            </w:r>
            <w:r w:rsidRPr="00D310A7">
              <w:t>,</w:t>
            </w:r>
            <w:r w:rsidR="00BC51C0" w:rsidRPr="00D310A7">
              <w:t>908</w:t>
            </w:r>
            <w:r w:rsidRPr="00D310A7">
              <w:t>)</w:t>
            </w:r>
          </w:p>
        </w:tc>
      </w:tr>
      <w:tr w:rsidR="007F6472" w:rsidRPr="0053635E" w:rsidTr="00266755">
        <w:trPr>
          <w:cantSplit/>
          <w:jc w:val="center"/>
        </w:trPr>
        <w:tc>
          <w:tcPr>
            <w:tcW w:w="1899" w:type="pct"/>
            <w:tcBorders>
              <w:top w:val="nil"/>
              <w:left w:val="nil"/>
              <w:bottom w:val="nil"/>
              <w:right w:val="nil"/>
            </w:tcBorders>
          </w:tcPr>
          <w:p w:rsidR="007F6472" w:rsidRPr="00D310A7" w:rsidRDefault="007F6472" w:rsidP="007F6472">
            <w:pPr>
              <w:widowControl/>
              <w:suppressAutoHyphens/>
              <w:ind w:left="200" w:hanging="200"/>
            </w:pPr>
            <w:r w:rsidRPr="00D310A7">
              <w:t>Cash paid for debt issuance fees</w:t>
            </w:r>
            <w:r w:rsidRPr="00D310A7">
              <w:tab/>
            </w:r>
          </w:p>
        </w:tc>
        <w:tc>
          <w:tcPr>
            <w:tcW w:w="620" w:type="pct"/>
            <w:tcBorders>
              <w:top w:val="nil"/>
              <w:left w:val="nil"/>
              <w:bottom w:val="nil"/>
              <w:right w:val="nil"/>
            </w:tcBorders>
            <w:vAlign w:val="bottom"/>
          </w:tcPr>
          <w:p w:rsidR="007F6472" w:rsidRPr="00C962FA" w:rsidRDefault="007F6472" w:rsidP="007F64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p>
        </w:tc>
        <w:tc>
          <w:tcPr>
            <w:tcW w:w="620" w:type="pct"/>
            <w:tcBorders>
              <w:top w:val="nil"/>
              <w:left w:val="nil"/>
              <w:bottom w:val="nil"/>
              <w:right w:val="nil"/>
            </w:tcBorders>
            <w:vAlign w:val="bottom"/>
          </w:tcPr>
          <w:p w:rsidR="007F6472" w:rsidRPr="00C962FA" w:rsidRDefault="007F6472"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r w:rsidR="00C962FA" w:rsidRPr="00C962FA">
              <w:t>749</w:t>
            </w:r>
            <w:r w:rsidR="00F00D5D" w:rsidRPr="00C962FA">
              <w:t>)</w:t>
            </w:r>
          </w:p>
        </w:tc>
        <w:tc>
          <w:tcPr>
            <w:tcW w:w="620" w:type="pct"/>
            <w:tcBorders>
              <w:top w:val="nil"/>
              <w:left w:val="nil"/>
              <w:bottom w:val="nil"/>
              <w:right w:val="nil"/>
            </w:tcBorders>
            <w:vAlign w:val="bottom"/>
          </w:tcPr>
          <w:p w:rsidR="007F6472" w:rsidRPr="004D6121" w:rsidRDefault="007F6472" w:rsidP="007F64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7F6472" w:rsidRPr="004D6121" w:rsidRDefault="007F6472" w:rsidP="007F647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7F6472" w:rsidRPr="00D310A7" w:rsidRDefault="007F6472" w:rsidP="00BC51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10A7">
              <w:t>(</w:t>
            </w:r>
            <w:r w:rsidR="00BC51C0" w:rsidRPr="00D310A7">
              <w:t>749</w:t>
            </w:r>
            <w:r w:rsidRPr="00D310A7">
              <w:t>)</w:t>
            </w:r>
          </w:p>
        </w:tc>
      </w:tr>
      <w:tr w:rsidR="007F6472" w:rsidRPr="0053635E" w:rsidTr="00266755">
        <w:trPr>
          <w:cantSplit/>
          <w:jc w:val="center"/>
        </w:trPr>
        <w:tc>
          <w:tcPr>
            <w:tcW w:w="1899" w:type="pct"/>
            <w:tcBorders>
              <w:top w:val="nil"/>
              <w:left w:val="nil"/>
              <w:bottom w:val="nil"/>
              <w:right w:val="nil"/>
            </w:tcBorders>
          </w:tcPr>
          <w:p w:rsidR="007F6472" w:rsidRPr="00D310A7" w:rsidRDefault="007F6472" w:rsidP="0063141F">
            <w:pPr>
              <w:widowControl/>
              <w:suppressAutoHyphens/>
              <w:spacing w:after="20"/>
              <w:ind w:left="200" w:hanging="200"/>
            </w:pPr>
            <w:r w:rsidRPr="00D310A7">
              <w:t xml:space="preserve">Repurchase of </w:t>
            </w:r>
            <w:r w:rsidR="00D27181">
              <w:t xml:space="preserve">indirect parent </w:t>
            </w:r>
            <w:r w:rsidRPr="00D310A7">
              <w:t>shares from employees</w:t>
            </w:r>
            <w:r w:rsidRPr="00D310A7">
              <w:tab/>
            </w:r>
          </w:p>
        </w:tc>
        <w:tc>
          <w:tcPr>
            <w:tcW w:w="620" w:type="pct"/>
            <w:tcBorders>
              <w:top w:val="nil"/>
              <w:left w:val="nil"/>
              <w:bottom w:val="nil"/>
              <w:right w:val="nil"/>
            </w:tcBorders>
            <w:vAlign w:val="bottom"/>
          </w:tcPr>
          <w:p w:rsidR="007F6472" w:rsidRPr="00C962FA" w:rsidRDefault="007F6472"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C962FA">
              <w:t>—</w:t>
            </w:r>
          </w:p>
        </w:tc>
        <w:tc>
          <w:tcPr>
            <w:tcW w:w="620" w:type="pct"/>
            <w:tcBorders>
              <w:top w:val="nil"/>
              <w:left w:val="nil"/>
              <w:bottom w:val="nil"/>
              <w:right w:val="nil"/>
            </w:tcBorders>
            <w:vAlign w:val="bottom"/>
          </w:tcPr>
          <w:p w:rsidR="007F6472" w:rsidRPr="00C962FA" w:rsidRDefault="007F6472" w:rsidP="00C962F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C962FA">
              <w:t>(</w:t>
            </w:r>
            <w:r w:rsidR="00C962FA" w:rsidRPr="00C962FA">
              <w:t>470</w:t>
            </w:r>
            <w:r w:rsidRPr="00C962FA">
              <w:t>)</w:t>
            </w:r>
          </w:p>
        </w:tc>
        <w:tc>
          <w:tcPr>
            <w:tcW w:w="620" w:type="pct"/>
            <w:tcBorders>
              <w:top w:val="nil"/>
              <w:left w:val="nil"/>
              <w:bottom w:val="nil"/>
              <w:right w:val="nil"/>
            </w:tcBorders>
            <w:vAlign w:val="bottom"/>
          </w:tcPr>
          <w:p w:rsidR="007F6472" w:rsidRPr="004D6121" w:rsidRDefault="007F6472"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4D6121">
              <w:t>—</w:t>
            </w:r>
          </w:p>
        </w:tc>
        <w:tc>
          <w:tcPr>
            <w:tcW w:w="620" w:type="pct"/>
            <w:tcBorders>
              <w:top w:val="nil"/>
              <w:left w:val="nil"/>
              <w:bottom w:val="nil"/>
              <w:right w:val="nil"/>
            </w:tcBorders>
            <w:vAlign w:val="bottom"/>
          </w:tcPr>
          <w:p w:rsidR="007F6472" w:rsidRPr="004D6121" w:rsidRDefault="007F6472"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4D6121">
              <w:t>—</w:t>
            </w:r>
          </w:p>
        </w:tc>
        <w:tc>
          <w:tcPr>
            <w:tcW w:w="620" w:type="pct"/>
            <w:tcBorders>
              <w:top w:val="nil"/>
              <w:left w:val="nil"/>
              <w:bottom w:val="nil"/>
              <w:right w:val="nil"/>
            </w:tcBorders>
            <w:vAlign w:val="bottom"/>
          </w:tcPr>
          <w:p w:rsidR="007F6472" w:rsidRPr="00D310A7" w:rsidRDefault="007F6472" w:rsidP="00BC51C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310A7">
              <w:t>(</w:t>
            </w:r>
            <w:r w:rsidR="00BC51C0" w:rsidRPr="00D310A7">
              <w:t>470</w:t>
            </w:r>
            <w:r w:rsidRPr="00D310A7">
              <w:t>)</w:t>
            </w:r>
          </w:p>
        </w:tc>
      </w:tr>
      <w:tr w:rsidR="007F6472" w:rsidRPr="0053635E" w:rsidTr="00266755">
        <w:trPr>
          <w:cantSplit/>
          <w:jc w:val="center"/>
        </w:trPr>
        <w:tc>
          <w:tcPr>
            <w:tcW w:w="1899" w:type="pct"/>
            <w:tcBorders>
              <w:top w:val="nil"/>
              <w:left w:val="nil"/>
              <w:bottom w:val="nil"/>
              <w:right w:val="nil"/>
            </w:tcBorders>
          </w:tcPr>
          <w:p w:rsidR="007F6472" w:rsidRPr="00D310A7" w:rsidRDefault="007F6472" w:rsidP="00D310A7">
            <w:pPr>
              <w:widowControl/>
              <w:suppressAutoHyphens/>
              <w:ind w:left="200" w:hanging="200"/>
            </w:pPr>
            <w:r w:rsidRPr="00D310A7">
              <w:rPr>
                <w:b/>
                <w:bCs/>
              </w:rPr>
              <w:t>Net cash provided by financing activities</w:t>
            </w:r>
            <w:r w:rsidRPr="00D310A7">
              <w:tab/>
            </w:r>
          </w:p>
        </w:tc>
        <w:tc>
          <w:tcPr>
            <w:tcW w:w="620" w:type="pct"/>
            <w:tcBorders>
              <w:top w:val="nil"/>
              <w:left w:val="nil"/>
              <w:bottom w:val="nil"/>
              <w:right w:val="nil"/>
            </w:tcBorders>
            <w:vAlign w:val="bottom"/>
          </w:tcPr>
          <w:p w:rsidR="007F6472" w:rsidRPr="00C962FA" w:rsidRDefault="00C962FA" w:rsidP="004D35A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p>
        </w:tc>
        <w:tc>
          <w:tcPr>
            <w:tcW w:w="620" w:type="pct"/>
            <w:tcBorders>
              <w:top w:val="nil"/>
              <w:left w:val="nil"/>
              <w:bottom w:val="nil"/>
              <w:right w:val="nil"/>
            </w:tcBorders>
            <w:vAlign w:val="bottom"/>
          </w:tcPr>
          <w:p w:rsidR="007F6472" w:rsidRPr="00C962FA" w:rsidRDefault="00C962FA"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22</w:t>
            </w:r>
            <w:r w:rsidR="007F6472" w:rsidRPr="00C962FA">
              <w:t>,</w:t>
            </w:r>
            <w:r w:rsidRPr="00C962FA">
              <w:t>873</w:t>
            </w:r>
          </w:p>
        </w:tc>
        <w:tc>
          <w:tcPr>
            <w:tcW w:w="620" w:type="pct"/>
            <w:tcBorders>
              <w:top w:val="nil"/>
              <w:left w:val="nil"/>
              <w:bottom w:val="nil"/>
              <w:right w:val="nil"/>
            </w:tcBorders>
            <w:vAlign w:val="bottom"/>
          </w:tcPr>
          <w:p w:rsidR="007F6472" w:rsidRPr="004D6121" w:rsidRDefault="00C962FA"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7F6472" w:rsidRPr="004D6121" w:rsidRDefault="004D6121" w:rsidP="00E2769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7F6472" w:rsidRPr="00D310A7" w:rsidRDefault="00BC51C0" w:rsidP="00BC51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10A7">
              <w:t>22</w:t>
            </w:r>
            <w:r w:rsidR="007F6472" w:rsidRPr="00D310A7">
              <w:t>,</w:t>
            </w:r>
            <w:r w:rsidRPr="00D310A7">
              <w:t>873</w:t>
            </w:r>
          </w:p>
        </w:tc>
      </w:tr>
      <w:tr w:rsidR="007F6472" w:rsidRPr="0053635E" w:rsidTr="00266755">
        <w:trPr>
          <w:cantSplit/>
          <w:jc w:val="center"/>
        </w:trPr>
        <w:tc>
          <w:tcPr>
            <w:tcW w:w="1899" w:type="pct"/>
            <w:tcBorders>
              <w:top w:val="nil"/>
              <w:left w:val="nil"/>
              <w:bottom w:val="nil"/>
              <w:right w:val="nil"/>
            </w:tcBorders>
          </w:tcPr>
          <w:p w:rsidR="007F6472" w:rsidRPr="00D310A7" w:rsidRDefault="007F6472" w:rsidP="0063141F">
            <w:pPr>
              <w:widowControl/>
              <w:suppressAutoHyphens/>
              <w:spacing w:after="20"/>
              <w:ind w:left="200" w:hanging="200"/>
            </w:pPr>
            <w:r w:rsidRPr="00D310A7">
              <w:t>Effect of changes in exchange rates on cash and cash equivalents</w:t>
            </w:r>
            <w:r w:rsidRPr="00D310A7">
              <w:tab/>
            </w:r>
          </w:p>
        </w:tc>
        <w:tc>
          <w:tcPr>
            <w:tcW w:w="620" w:type="pct"/>
            <w:tcBorders>
              <w:top w:val="nil"/>
              <w:left w:val="nil"/>
              <w:bottom w:val="nil"/>
              <w:right w:val="nil"/>
            </w:tcBorders>
            <w:vAlign w:val="bottom"/>
          </w:tcPr>
          <w:p w:rsidR="007F6472" w:rsidRPr="00C962FA" w:rsidRDefault="007F6472"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C962FA">
              <w:t>—</w:t>
            </w:r>
          </w:p>
        </w:tc>
        <w:tc>
          <w:tcPr>
            <w:tcW w:w="620" w:type="pct"/>
            <w:tcBorders>
              <w:top w:val="nil"/>
              <w:left w:val="nil"/>
              <w:bottom w:val="nil"/>
              <w:right w:val="nil"/>
            </w:tcBorders>
            <w:vAlign w:val="bottom"/>
          </w:tcPr>
          <w:p w:rsidR="007F6472" w:rsidRPr="00C962FA" w:rsidRDefault="00C962FA" w:rsidP="00C962F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C962FA">
              <w:t>(</w:t>
            </w:r>
            <w:r w:rsidR="00E27695" w:rsidRPr="00C962FA">
              <w:t>1</w:t>
            </w:r>
            <w:r w:rsidRPr="00C962FA">
              <w:t>31)</w:t>
            </w:r>
          </w:p>
        </w:tc>
        <w:tc>
          <w:tcPr>
            <w:tcW w:w="620" w:type="pct"/>
            <w:tcBorders>
              <w:top w:val="nil"/>
              <w:left w:val="nil"/>
              <w:bottom w:val="nil"/>
              <w:right w:val="nil"/>
            </w:tcBorders>
            <w:vAlign w:val="bottom"/>
          </w:tcPr>
          <w:p w:rsidR="007F6472" w:rsidRPr="004D6121" w:rsidRDefault="007F6472"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4D6121">
              <w:t>—</w:t>
            </w:r>
          </w:p>
        </w:tc>
        <w:tc>
          <w:tcPr>
            <w:tcW w:w="620" w:type="pct"/>
            <w:tcBorders>
              <w:top w:val="nil"/>
              <w:left w:val="nil"/>
              <w:bottom w:val="nil"/>
              <w:right w:val="nil"/>
            </w:tcBorders>
            <w:vAlign w:val="bottom"/>
          </w:tcPr>
          <w:p w:rsidR="007F6472" w:rsidRPr="004D6121" w:rsidRDefault="007F6472"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4D6121">
              <w:t>—</w:t>
            </w:r>
          </w:p>
        </w:tc>
        <w:tc>
          <w:tcPr>
            <w:tcW w:w="620" w:type="pct"/>
            <w:tcBorders>
              <w:top w:val="nil"/>
              <w:left w:val="nil"/>
              <w:bottom w:val="nil"/>
              <w:right w:val="nil"/>
            </w:tcBorders>
            <w:vAlign w:val="bottom"/>
          </w:tcPr>
          <w:p w:rsidR="007F6472" w:rsidRPr="00D310A7" w:rsidRDefault="00BC51C0" w:rsidP="00BC51C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310A7">
              <w:t>(131)</w:t>
            </w:r>
          </w:p>
        </w:tc>
      </w:tr>
      <w:tr w:rsidR="007F6472" w:rsidRPr="0053635E" w:rsidTr="00266755">
        <w:trPr>
          <w:cantSplit/>
          <w:jc w:val="center"/>
        </w:trPr>
        <w:tc>
          <w:tcPr>
            <w:tcW w:w="1899" w:type="pct"/>
            <w:tcBorders>
              <w:top w:val="nil"/>
              <w:left w:val="nil"/>
              <w:bottom w:val="nil"/>
              <w:right w:val="nil"/>
            </w:tcBorders>
          </w:tcPr>
          <w:p w:rsidR="007F6472" w:rsidRPr="00D310A7" w:rsidRDefault="007F6472" w:rsidP="00BB74AD">
            <w:pPr>
              <w:widowControl/>
              <w:suppressAutoHyphens/>
              <w:ind w:left="200" w:hanging="200"/>
            </w:pPr>
            <w:r w:rsidRPr="00D310A7">
              <w:t>Net decrease in cash and cash equivalents</w:t>
            </w:r>
            <w:r w:rsidRPr="00D310A7">
              <w:tab/>
            </w:r>
          </w:p>
        </w:tc>
        <w:tc>
          <w:tcPr>
            <w:tcW w:w="620" w:type="pct"/>
            <w:tcBorders>
              <w:top w:val="nil"/>
              <w:left w:val="nil"/>
              <w:bottom w:val="nil"/>
              <w:right w:val="nil"/>
            </w:tcBorders>
            <w:vAlign w:val="bottom"/>
          </w:tcPr>
          <w:p w:rsidR="007F6472" w:rsidRPr="00C962FA" w:rsidRDefault="007F6472"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p>
        </w:tc>
        <w:tc>
          <w:tcPr>
            <w:tcW w:w="620" w:type="pct"/>
            <w:tcBorders>
              <w:top w:val="nil"/>
              <w:left w:val="nil"/>
              <w:bottom w:val="nil"/>
              <w:right w:val="nil"/>
            </w:tcBorders>
            <w:vAlign w:val="bottom"/>
          </w:tcPr>
          <w:p w:rsidR="007F6472" w:rsidRPr="00C962FA" w:rsidRDefault="007F6472"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C962FA">
              <w:t>(</w:t>
            </w:r>
            <w:r w:rsidR="00C962FA" w:rsidRPr="00C962FA">
              <w:t>4</w:t>
            </w:r>
            <w:r w:rsidRPr="00C962FA">
              <w:t>,</w:t>
            </w:r>
            <w:r w:rsidR="00C962FA" w:rsidRPr="00C962FA">
              <w:t>429</w:t>
            </w:r>
            <w:r w:rsidRPr="00C962FA">
              <w:t>)</w:t>
            </w:r>
          </w:p>
        </w:tc>
        <w:tc>
          <w:tcPr>
            <w:tcW w:w="620" w:type="pct"/>
            <w:tcBorders>
              <w:top w:val="nil"/>
              <w:left w:val="nil"/>
              <w:bottom w:val="nil"/>
              <w:right w:val="nil"/>
            </w:tcBorders>
            <w:vAlign w:val="bottom"/>
          </w:tcPr>
          <w:p w:rsidR="007F6472" w:rsidRPr="004D6121" w:rsidRDefault="00E27695" w:rsidP="00C962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r w:rsidR="00C962FA" w:rsidRPr="004D6121">
              <w:t>380</w:t>
            </w:r>
            <w:r w:rsidRPr="004D6121">
              <w:t>)</w:t>
            </w:r>
          </w:p>
        </w:tc>
        <w:tc>
          <w:tcPr>
            <w:tcW w:w="620" w:type="pct"/>
            <w:tcBorders>
              <w:top w:val="nil"/>
              <w:left w:val="nil"/>
              <w:bottom w:val="nil"/>
              <w:right w:val="nil"/>
            </w:tcBorders>
            <w:vAlign w:val="bottom"/>
          </w:tcPr>
          <w:p w:rsidR="007F6472" w:rsidRPr="004D6121" w:rsidRDefault="007F6472" w:rsidP="0026675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D6121">
              <w:t>—</w:t>
            </w:r>
          </w:p>
        </w:tc>
        <w:tc>
          <w:tcPr>
            <w:tcW w:w="620" w:type="pct"/>
            <w:tcBorders>
              <w:top w:val="nil"/>
              <w:left w:val="nil"/>
              <w:bottom w:val="nil"/>
              <w:right w:val="nil"/>
            </w:tcBorders>
            <w:vAlign w:val="bottom"/>
          </w:tcPr>
          <w:p w:rsidR="007F6472" w:rsidRPr="00D310A7" w:rsidRDefault="007F6472" w:rsidP="00BC51C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D310A7">
              <w:t>(</w:t>
            </w:r>
            <w:r w:rsidR="00BC51C0" w:rsidRPr="00D310A7">
              <w:t>4</w:t>
            </w:r>
            <w:r w:rsidRPr="00D310A7">
              <w:t>,</w:t>
            </w:r>
            <w:r w:rsidR="00BC51C0" w:rsidRPr="00D310A7">
              <w:t>809</w:t>
            </w:r>
            <w:r w:rsidRPr="00D310A7">
              <w:t>)</w:t>
            </w:r>
          </w:p>
        </w:tc>
      </w:tr>
      <w:tr w:rsidR="007F6472" w:rsidRPr="0053635E" w:rsidTr="00266755">
        <w:trPr>
          <w:cantSplit/>
          <w:jc w:val="center"/>
        </w:trPr>
        <w:tc>
          <w:tcPr>
            <w:tcW w:w="1899" w:type="pct"/>
            <w:tcBorders>
              <w:top w:val="nil"/>
              <w:left w:val="nil"/>
              <w:bottom w:val="nil"/>
              <w:right w:val="nil"/>
            </w:tcBorders>
          </w:tcPr>
          <w:p w:rsidR="007F6472" w:rsidRPr="00D310A7" w:rsidRDefault="007F6472" w:rsidP="005F508E">
            <w:pPr>
              <w:widowControl/>
              <w:suppressAutoHyphens/>
              <w:spacing w:after="20"/>
              <w:ind w:left="200" w:hanging="200"/>
            </w:pPr>
            <w:r w:rsidRPr="00D310A7">
              <w:t>Cash and cash equivalents, beginning of period</w:t>
            </w:r>
            <w:r w:rsidRPr="00D310A7">
              <w:tab/>
            </w:r>
          </w:p>
        </w:tc>
        <w:tc>
          <w:tcPr>
            <w:tcW w:w="620" w:type="pct"/>
            <w:tcBorders>
              <w:top w:val="nil"/>
              <w:left w:val="nil"/>
              <w:bottom w:val="nil"/>
              <w:right w:val="nil"/>
            </w:tcBorders>
            <w:vAlign w:val="bottom"/>
          </w:tcPr>
          <w:p w:rsidR="007F6472" w:rsidRPr="00C962FA" w:rsidRDefault="007F6472"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C962FA">
              <w:t>—</w:t>
            </w:r>
          </w:p>
        </w:tc>
        <w:tc>
          <w:tcPr>
            <w:tcW w:w="620" w:type="pct"/>
            <w:tcBorders>
              <w:top w:val="nil"/>
              <w:left w:val="nil"/>
              <w:bottom w:val="nil"/>
              <w:right w:val="nil"/>
            </w:tcBorders>
            <w:vAlign w:val="bottom"/>
          </w:tcPr>
          <w:p w:rsidR="007F6472" w:rsidRPr="00C962FA" w:rsidRDefault="007F6472" w:rsidP="00C962F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C962FA">
              <w:t>2</w:t>
            </w:r>
            <w:r w:rsidR="00C962FA" w:rsidRPr="00C962FA">
              <w:t>5</w:t>
            </w:r>
            <w:r w:rsidRPr="00C962FA">
              <w:t>,</w:t>
            </w:r>
            <w:r w:rsidR="00C962FA" w:rsidRPr="00C962FA">
              <w:t>837</w:t>
            </w:r>
          </w:p>
        </w:tc>
        <w:tc>
          <w:tcPr>
            <w:tcW w:w="620" w:type="pct"/>
            <w:tcBorders>
              <w:top w:val="nil"/>
              <w:left w:val="nil"/>
              <w:bottom w:val="nil"/>
              <w:right w:val="nil"/>
            </w:tcBorders>
            <w:vAlign w:val="bottom"/>
          </w:tcPr>
          <w:p w:rsidR="007F6472" w:rsidRPr="004D6121" w:rsidRDefault="00C962FA" w:rsidP="00C962F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4D6121">
              <w:t>719</w:t>
            </w:r>
          </w:p>
        </w:tc>
        <w:tc>
          <w:tcPr>
            <w:tcW w:w="620" w:type="pct"/>
            <w:tcBorders>
              <w:top w:val="nil"/>
              <w:left w:val="nil"/>
              <w:bottom w:val="nil"/>
              <w:right w:val="nil"/>
            </w:tcBorders>
            <w:vAlign w:val="bottom"/>
          </w:tcPr>
          <w:p w:rsidR="007F6472" w:rsidRPr="004D6121" w:rsidRDefault="007F6472" w:rsidP="0026675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4D6121">
              <w:t>—</w:t>
            </w:r>
          </w:p>
        </w:tc>
        <w:tc>
          <w:tcPr>
            <w:tcW w:w="620" w:type="pct"/>
            <w:tcBorders>
              <w:top w:val="nil"/>
              <w:left w:val="nil"/>
              <w:bottom w:val="nil"/>
              <w:right w:val="nil"/>
            </w:tcBorders>
            <w:vAlign w:val="bottom"/>
          </w:tcPr>
          <w:p w:rsidR="007F6472" w:rsidRPr="00D310A7" w:rsidRDefault="00BC51C0" w:rsidP="00BC51C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D310A7">
              <w:t>26</w:t>
            </w:r>
            <w:r w:rsidR="007F6472" w:rsidRPr="00D310A7">
              <w:t>,</w:t>
            </w:r>
            <w:r w:rsidRPr="00D310A7">
              <w:t>556</w:t>
            </w:r>
          </w:p>
        </w:tc>
      </w:tr>
      <w:tr w:rsidR="007F6472" w:rsidRPr="0053635E" w:rsidTr="00266755">
        <w:trPr>
          <w:cantSplit/>
          <w:jc w:val="center"/>
        </w:trPr>
        <w:tc>
          <w:tcPr>
            <w:tcW w:w="1899" w:type="pct"/>
            <w:tcBorders>
              <w:top w:val="nil"/>
              <w:left w:val="nil"/>
              <w:bottom w:val="nil"/>
              <w:right w:val="nil"/>
            </w:tcBorders>
          </w:tcPr>
          <w:p w:rsidR="007F6472" w:rsidRPr="00D310A7" w:rsidRDefault="007F6472" w:rsidP="005F508E">
            <w:pPr>
              <w:widowControl/>
              <w:suppressAutoHyphens/>
              <w:spacing w:after="40"/>
              <w:ind w:left="200" w:hanging="200"/>
            </w:pPr>
            <w:r w:rsidRPr="00D310A7">
              <w:rPr>
                <w:b/>
                <w:bCs/>
              </w:rPr>
              <w:t>Cash and cash equivalents, end of period</w:t>
            </w:r>
            <w:r w:rsidRPr="00D310A7">
              <w:tab/>
            </w:r>
          </w:p>
        </w:tc>
        <w:tc>
          <w:tcPr>
            <w:tcW w:w="620" w:type="pct"/>
            <w:tcBorders>
              <w:top w:val="nil"/>
              <w:left w:val="nil"/>
              <w:bottom w:val="nil"/>
              <w:right w:val="nil"/>
            </w:tcBorders>
            <w:vAlign w:val="bottom"/>
          </w:tcPr>
          <w:p w:rsidR="007F6472" w:rsidRPr="00C962FA" w:rsidRDefault="007F6472" w:rsidP="00376D7E">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C962FA">
              <w:t xml:space="preserve">$  </w:t>
            </w:r>
            <w:r w:rsidR="00376D7E">
              <w:t xml:space="preserve"> </w:t>
            </w:r>
            <w:r w:rsidRPr="00C962FA">
              <w:t xml:space="preserve">             —</w:t>
            </w:r>
          </w:p>
        </w:tc>
        <w:tc>
          <w:tcPr>
            <w:tcW w:w="620" w:type="pct"/>
            <w:tcBorders>
              <w:top w:val="nil"/>
              <w:left w:val="nil"/>
              <w:bottom w:val="nil"/>
              <w:right w:val="nil"/>
            </w:tcBorders>
            <w:vAlign w:val="bottom"/>
          </w:tcPr>
          <w:p w:rsidR="007F6472" w:rsidRPr="00C962FA" w:rsidRDefault="007F6472" w:rsidP="00C962F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C962FA">
              <w:t>$         2</w:t>
            </w:r>
            <w:r w:rsidR="00C962FA" w:rsidRPr="00C962FA">
              <w:t>1</w:t>
            </w:r>
            <w:r w:rsidRPr="00C962FA">
              <w:t>,</w:t>
            </w:r>
            <w:r w:rsidR="00C962FA" w:rsidRPr="00C962FA">
              <w:t>408</w:t>
            </w:r>
          </w:p>
        </w:tc>
        <w:tc>
          <w:tcPr>
            <w:tcW w:w="620" w:type="pct"/>
            <w:tcBorders>
              <w:top w:val="nil"/>
              <w:left w:val="nil"/>
              <w:bottom w:val="nil"/>
              <w:right w:val="nil"/>
            </w:tcBorders>
            <w:vAlign w:val="bottom"/>
          </w:tcPr>
          <w:p w:rsidR="007F6472" w:rsidRPr="004D6121" w:rsidRDefault="007F6472" w:rsidP="00C962F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4D6121">
              <w:t xml:space="preserve">$ </w:t>
            </w:r>
            <w:r w:rsidR="00383186" w:rsidRPr="004D6121">
              <w:t xml:space="preserve"> </w:t>
            </w:r>
            <w:r w:rsidRPr="004D6121">
              <w:t xml:space="preserve">        </w:t>
            </w:r>
            <w:r w:rsidR="00C962FA" w:rsidRPr="004D6121">
              <w:t xml:space="preserve">    339</w:t>
            </w:r>
          </w:p>
        </w:tc>
        <w:tc>
          <w:tcPr>
            <w:tcW w:w="620" w:type="pct"/>
            <w:tcBorders>
              <w:top w:val="nil"/>
              <w:left w:val="nil"/>
              <w:bottom w:val="nil"/>
              <w:right w:val="nil"/>
            </w:tcBorders>
            <w:vAlign w:val="bottom"/>
          </w:tcPr>
          <w:p w:rsidR="007F6472" w:rsidRPr="004D6121" w:rsidRDefault="007F6472" w:rsidP="00383186">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4D6121">
              <w:t>$</w:t>
            </w:r>
            <w:r w:rsidR="00383186" w:rsidRPr="004D6121">
              <w:t xml:space="preserve"> </w:t>
            </w:r>
            <w:r w:rsidRPr="004D6121">
              <w:t xml:space="preserve">               —</w:t>
            </w:r>
          </w:p>
        </w:tc>
        <w:tc>
          <w:tcPr>
            <w:tcW w:w="620" w:type="pct"/>
            <w:tcBorders>
              <w:top w:val="nil"/>
              <w:left w:val="nil"/>
              <w:bottom w:val="nil"/>
              <w:right w:val="nil"/>
            </w:tcBorders>
            <w:vAlign w:val="bottom"/>
          </w:tcPr>
          <w:p w:rsidR="007F6472" w:rsidRPr="00D310A7" w:rsidRDefault="007F6472" w:rsidP="00BC51C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D310A7">
              <w:t>$         2</w:t>
            </w:r>
            <w:r w:rsidR="00BC51C0" w:rsidRPr="00D310A7">
              <w:t>1</w:t>
            </w:r>
            <w:r w:rsidRPr="00D310A7">
              <w:t>,</w:t>
            </w:r>
            <w:r w:rsidR="00BC51C0" w:rsidRPr="00D310A7">
              <w:t>747</w:t>
            </w:r>
          </w:p>
        </w:tc>
      </w:tr>
    </w:tbl>
    <w:p w:rsidR="00B71C04" w:rsidRDefault="00B71C04" w:rsidP="00A93DDC">
      <w:pPr>
        <w:keepNext/>
        <w:keepLines/>
        <w:widowControl/>
        <w:tabs>
          <w:tab w:val="left" w:pos="-720"/>
          <w:tab w:val="left" w:pos="720"/>
          <w:tab w:val="left" w:pos="1440"/>
        </w:tabs>
        <w:suppressAutoHyphens/>
        <w:spacing w:after="240"/>
        <w:rPr>
          <w:b/>
          <w:bCs/>
          <w:sz w:val="22"/>
        </w:rPr>
      </w:pPr>
    </w:p>
    <w:p w:rsidR="005C56EC" w:rsidRPr="00B71C04" w:rsidRDefault="00B71C04" w:rsidP="00A93DDC">
      <w:pPr>
        <w:keepNext/>
        <w:keepLines/>
        <w:widowControl/>
        <w:tabs>
          <w:tab w:val="left" w:pos="-720"/>
          <w:tab w:val="left" w:pos="720"/>
          <w:tab w:val="left" w:pos="1440"/>
        </w:tabs>
        <w:suppressAutoHyphens/>
        <w:spacing w:after="240"/>
        <w:rPr>
          <w:bCs/>
          <w:sz w:val="22"/>
        </w:rPr>
      </w:pPr>
      <w:r w:rsidRPr="00B71C04">
        <w:rPr>
          <w:bCs/>
          <w:sz w:val="22"/>
        </w:rPr>
        <w:t>.</w:t>
      </w:r>
    </w:p>
    <w:p w:rsidR="00B71C04" w:rsidRDefault="00B71C04" w:rsidP="00A93DDC">
      <w:pPr>
        <w:keepNext/>
        <w:keepLines/>
        <w:widowControl/>
        <w:tabs>
          <w:tab w:val="left" w:pos="-720"/>
          <w:tab w:val="left" w:pos="720"/>
          <w:tab w:val="left" w:pos="1440"/>
        </w:tabs>
        <w:suppressAutoHyphens/>
        <w:spacing w:after="240"/>
        <w:rPr>
          <w:b/>
          <w:bCs/>
          <w:sz w:val="22"/>
        </w:rPr>
      </w:pPr>
    </w:p>
    <w:p w:rsidR="00B71C04" w:rsidRDefault="00B71C04" w:rsidP="00A93DDC">
      <w:pPr>
        <w:keepNext/>
        <w:keepLines/>
        <w:widowControl/>
        <w:tabs>
          <w:tab w:val="left" w:pos="-720"/>
          <w:tab w:val="left" w:pos="720"/>
          <w:tab w:val="left" w:pos="1440"/>
        </w:tabs>
        <w:suppressAutoHyphens/>
        <w:spacing w:after="240"/>
        <w:rPr>
          <w:b/>
          <w:bCs/>
          <w:sz w:val="22"/>
        </w:rPr>
      </w:pPr>
    </w:p>
    <w:p w:rsidR="00B71C04" w:rsidRDefault="00B71C04" w:rsidP="00A93DDC">
      <w:pPr>
        <w:keepNext/>
        <w:keepLines/>
        <w:widowControl/>
        <w:tabs>
          <w:tab w:val="left" w:pos="-720"/>
          <w:tab w:val="left" w:pos="720"/>
          <w:tab w:val="left" w:pos="1440"/>
        </w:tabs>
        <w:suppressAutoHyphens/>
        <w:spacing w:after="240"/>
        <w:rPr>
          <w:b/>
          <w:bCs/>
          <w:sz w:val="22"/>
        </w:rPr>
      </w:pPr>
    </w:p>
    <w:p w:rsidR="00B71C04" w:rsidRDefault="00B71C04" w:rsidP="00A93DDC">
      <w:pPr>
        <w:keepNext/>
        <w:keepLines/>
        <w:widowControl/>
        <w:tabs>
          <w:tab w:val="left" w:pos="-720"/>
          <w:tab w:val="left" w:pos="720"/>
          <w:tab w:val="left" w:pos="1440"/>
        </w:tabs>
        <w:suppressAutoHyphens/>
        <w:spacing w:after="240"/>
        <w:rPr>
          <w:b/>
          <w:bCs/>
          <w:sz w:val="22"/>
        </w:rPr>
      </w:pPr>
    </w:p>
    <w:p w:rsidR="00B71C04" w:rsidRPr="00590219" w:rsidRDefault="00B71C04" w:rsidP="00A93DDC">
      <w:pPr>
        <w:keepNext/>
        <w:keepLines/>
        <w:widowControl/>
        <w:tabs>
          <w:tab w:val="left" w:pos="-720"/>
          <w:tab w:val="left" w:pos="720"/>
          <w:tab w:val="left" w:pos="1440"/>
        </w:tabs>
        <w:suppressAutoHyphens/>
        <w:spacing w:after="240"/>
        <w:rPr>
          <w:b/>
          <w:bCs/>
          <w:sz w:val="22"/>
        </w:rPr>
      </w:pPr>
    </w:p>
    <w:p w:rsidR="00B71C04" w:rsidRDefault="00B71C04" w:rsidP="005A1813">
      <w:pPr>
        <w:widowControl/>
        <w:tabs>
          <w:tab w:val="left" w:pos="-720"/>
        </w:tabs>
        <w:suppressAutoHyphens/>
        <w:spacing w:after="240"/>
        <w:ind w:firstLine="720"/>
        <w:jc w:val="both"/>
        <w:rPr>
          <w:sz w:val="22"/>
        </w:rPr>
      </w:pPr>
    </w:p>
    <w:p w:rsidR="00B71C04" w:rsidRPr="00B71C04" w:rsidRDefault="00B71C04" w:rsidP="00B71C04">
      <w:pPr>
        <w:widowControl/>
        <w:tabs>
          <w:tab w:val="left" w:pos="-720"/>
        </w:tabs>
        <w:suppressAutoHyphens/>
        <w:spacing w:after="240"/>
        <w:jc w:val="both"/>
        <w:rPr>
          <w:b/>
          <w:sz w:val="22"/>
        </w:rPr>
      </w:pPr>
      <w:r w:rsidRPr="00B71C04">
        <w:rPr>
          <w:b/>
          <w:sz w:val="22"/>
        </w:rPr>
        <w:lastRenderedPageBreak/>
        <w:t>15.</w:t>
      </w:r>
      <w:r>
        <w:rPr>
          <w:b/>
          <w:sz w:val="22"/>
        </w:rPr>
        <w:t xml:space="preserve">  </w:t>
      </w:r>
      <w:r w:rsidRPr="00B71C04">
        <w:rPr>
          <w:b/>
          <w:sz w:val="22"/>
        </w:rPr>
        <w:t>Subsequent Events</w:t>
      </w:r>
    </w:p>
    <w:p w:rsidR="00D82BC0" w:rsidRDefault="00CC503E" w:rsidP="005A1813">
      <w:pPr>
        <w:widowControl/>
        <w:tabs>
          <w:tab w:val="left" w:pos="-720"/>
        </w:tabs>
        <w:suppressAutoHyphens/>
        <w:spacing w:after="240"/>
        <w:ind w:firstLine="720"/>
        <w:jc w:val="both"/>
        <w:rPr>
          <w:sz w:val="22"/>
        </w:rPr>
      </w:pPr>
      <w:r>
        <w:rPr>
          <w:sz w:val="22"/>
        </w:rPr>
        <w:t>On April 1</w:t>
      </w:r>
      <w:r w:rsidR="007E4B1C">
        <w:rPr>
          <w:sz w:val="22"/>
        </w:rPr>
        <w:t>5</w:t>
      </w:r>
      <w:r>
        <w:rPr>
          <w:sz w:val="22"/>
        </w:rPr>
        <w:t>, 2014, the Company entered into an agreement</w:t>
      </w:r>
      <w:r w:rsidR="004340D5">
        <w:rPr>
          <w:sz w:val="22"/>
        </w:rPr>
        <w:t xml:space="preserve"> with its lenders</w:t>
      </w:r>
      <w:r>
        <w:rPr>
          <w:sz w:val="22"/>
        </w:rPr>
        <w:t xml:space="preserve"> to amend the ABL facility.  The interest rate on the ABL Facility was decreased to LIBOR plus 2.25% from LIBOR plus 2.75%.  </w:t>
      </w:r>
      <w:r w:rsidR="009B2743">
        <w:rPr>
          <w:sz w:val="22"/>
        </w:rPr>
        <w:t>Additionally, the</w:t>
      </w:r>
      <w:r>
        <w:rPr>
          <w:sz w:val="22"/>
        </w:rPr>
        <w:t xml:space="preserve"> borrowing capacity under the ABL Facility</w:t>
      </w:r>
      <w:r w:rsidR="009B2743">
        <w:rPr>
          <w:sz w:val="22"/>
        </w:rPr>
        <w:t xml:space="preserve"> was increased</w:t>
      </w:r>
      <w:r>
        <w:rPr>
          <w:sz w:val="22"/>
        </w:rPr>
        <w:t xml:space="preserve"> by $80,000 bringing the total commitment by lenders to $1,030,000.  Fees paid in connection with the increase were $1,880 and are being amortized over the remaining life of the loan.</w:t>
      </w:r>
      <w:r w:rsidR="00361D3B">
        <w:rPr>
          <w:sz w:val="22"/>
        </w:rPr>
        <w:t xml:space="preserve">  A Current Report on Form 8-K was filed with the SEC on April 18, 2014 in connection with the amendment.</w:t>
      </w:r>
    </w:p>
    <w:p w:rsidR="00A254F5" w:rsidRDefault="003123CB" w:rsidP="005A1813">
      <w:pPr>
        <w:widowControl/>
        <w:tabs>
          <w:tab w:val="left" w:pos="-720"/>
        </w:tabs>
        <w:suppressAutoHyphens/>
        <w:spacing w:after="240"/>
        <w:ind w:firstLine="720"/>
        <w:jc w:val="both"/>
        <w:rPr>
          <w:sz w:val="22"/>
        </w:rPr>
      </w:pPr>
      <w:r>
        <w:rPr>
          <w:sz w:val="22"/>
        </w:rPr>
        <w:t>On</w:t>
      </w:r>
      <w:r w:rsidR="00524937">
        <w:rPr>
          <w:sz w:val="22"/>
        </w:rPr>
        <w:t xml:space="preserve"> May</w:t>
      </w:r>
      <w:r>
        <w:rPr>
          <w:sz w:val="22"/>
        </w:rPr>
        <w:t xml:space="preserve"> 8,</w:t>
      </w:r>
      <w:r w:rsidR="00524937">
        <w:rPr>
          <w:sz w:val="22"/>
        </w:rPr>
        <w:t xml:space="preserve"> </w:t>
      </w:r>
      <w:r w:rsidR="00A254F5">
        <w:rPr>
          <w:sz w:val="22"/>
        </w:rPr>
        <w:t xml:space="preserve">2014, the Company </w:t>
      </w:r>
      <w:r w:rsidR="00A254F5" w:rsidRPr="00C640FA">
        <w:rPr>
          <w:sz w:val="22"/>
        </w:rPr>
        <w:t xml:space="preserve">purchased </w:t>
      </w:r>
      <w:r>
        <w:rPr>
          <w:sz w:val="22"/>
        </w:rPr>
        <w:t>1</w:t>
      </w:r>
      <w:r w:rsidR="00A254F5" w:rsidRPr="00C640FA">
        <w:rPr>
          <w:sz w:val="22"/>
        </w:rPr>
        <w:t>,</w:t>
      </w:r>
      <w:r>
        <w:rPr>
          <w:sz w:val="22"/>
        </w:rPr>
        <w:t>573</w:t>
      </w:r>
      <w:r w:rsidR="00A254F5" w:rsidRPr="00C640FA">
        <w:rPr>
          <w:sz w:val="22"/>
        </w:rPr>
        <w:t xml:space="preserve"> chassis</w:t>
      </w:r>
      <w:r w:rsidR="00A254F5">
        <w:rPr>
          <w:sz w:val="22"/>
        </w:rPr>
        <w:t xml:space="preserve"> from a shipping line customer for approximately </w:t>
      </w:r>
      <w:r w:rsidR="00A254F5" w:rsidRPr="00C640FA">
        <w:rPr>
          <w:sz w:val="22"/>
        </w:rPr>
        <w:t>$</w:t>
      </w:r>
      <w:r>
        <w:rPr>
          <w:sz w:val="22"/>
        </w:rPr>
        <w:t>7</w:t>
      </w:r>
      <w:r w:rsidR="00A254F5" w:rsidRPr="00C640FA">
        <w:rPr>
          <w:sz w:val="22"/>
        </w:rPr>
        <w:t>,</w:t>
      </w:r>
      <w:r>
        <w:rPr>
          <w:sz w:val="22"/>
        </w:rPr>
        <w:t>9</w:t>
      </w:r>
      <w:r w:rsidR="00C640FA" w:rsidRPr="00C640FA">
        <w:rPr>
          <w:sz w:val="22"/>
        </w:rPr>
        <w:t>00</w:t>
      </w:r>
      <w:r w:rsidR="00A254F5" w:rsidRPr="00C640FA">
        <w:rPr>
          <w:sz w:val="22"/>
        </w:rPr>
        <w:t>.</w:t>
      </w:r>
    </w:p>
    <w:p w:rsidR="0060249E" w:rsidRPr="00590219" w:rsidRDefault="00266755" w:rsidP="005A1813">
      <w:pPr>
        <w:widowControl/>
        <w:tabs>
          <w:tab w:val="left" w:pos="-720"/>
        </w:tabs>
        <w:suppressAutoHyphens/>
        <w:spacing w:after="240"/>
        <w:ind w:firstLine="720"/>
        <w:jc w:val="both"/>
        <w:rPr>
          <w:i/>
          <w:iCs/>
        </w:rPr>
      </w:pPr>
      <w:r w:rsidRPr="00590219">
        <w:rPr>
          <w:sz w:val="22"/>
        </w:rPr>
        <w:t>The Company has evaluated all significant activities through the time of filing these financial statements with the SEC and has concluded that no additional subsequent events have occurred that would require recognition in the consolidated financial statements or disclosure in the notes to the consolidated financial statements.</w:t>
      </w:r>
    </w:p>
    <w:p w:rsidR="0060249E" w:rsidRPr="00590219" w:rsidRDefault="0060249E" w:rsidP="0060249E">
      <w:pPr>
        <w:tabs>
          <w:tab w:val="left" w:pos="-720"/>
        </w:tabs>
        <w:suppressAutoHyphens/>
        <w:spacing w:after="240"/>
        <w:jc w:val="both"/>
        <w:rPr>
          <w:iCs/>
        </w:rPr>
        <w:sectPr w:rsidR="0060249E" w:rsidRPr="00590219" w:rsidSect="00E75674">
          <w:headerReference w:type="even" r:id="rId14"/>
          <w:headerReference w:type="default" r:id="rId15"/>
          <w:headerReference w:type="first" r:id="rId16"/>
          <w:pgSz w:w="12240" w:h="15840"/>
          <w:pgMar w:top="2790" w:right="1080" w:bottom="1800" w:left="1080" w:header="720" w:footer="720" w:gutter="0"/>
          <w:cols w:space="720"/>
          <w:docGrid w:linePitch="299"/>
        </w:sectPr>
      </w:pPr>
    </w:p>
    <w:p w:rsidR="00690897" w:rsidRPr="002B7E4F" w:rsidRDefault="00831E1B" w:rsidP="00690897">
      <w:pPr>
        <w:tabs>
          <w:tab w:val="left" w:pos="-720"/>
        </w:tabs>
        <w:suppressAutoHyphens/>
        <w:spacing w:after="240"/>
        <w:jc w:val="both"/>
        <w:rPr>
          <w:sz w:val="22"/>
        </w:rPr>
      </w:pPr>
      <w:r w:rsidRPr="002B7E4F">
        <w:rPr>
          <w:rFonts w:ascii="Times" w:hAnsi="Times" w:cs="Times"/>
          <w:i/>
          <w:iCs/>
          <w:color w:val="000000"/>
          <w:sz w:val="22"/>
          <w:shd w:val="clear" w:color="auto" w:fill="FFFFFF"/>
        </w:rPr>
        <w:lastRenderedPageBreak/>
        <w:tab/>
      </w:r>
      <w:r w:rsidR="00402089" w:rsidRPr="002B7E4F">
        <w:rPr>
          <w:rFonts w:ascii="Times" w:hAnsi="Times" w:cs="Times"/>
          <w:i/>
          <w:iCs/>
          <w:color w:val="000000"/>
          <w:sz w:val="22"/>
          <w:shd w:val="clear" w:color="auto" w:fill="FFFFFF"/>
        </w:rPr>
        <w:t xml:space="preserve">The following discussion </w:t>
      </w:r>
      <w:r w:rsidR="00FC739C">
        <w:rPr>
          <w:rFonts w:ascii="Times" w:hAnsi="Times" w:cs="Times"/>
          <w:i/>
          <w:iCs/>
          <w:color w:val="000000"/>
          <w:sz w:val="22"/>
          <w:shd w:val="clear" w:color="auto" w:fill="FFFFFF"/>
        </w:rPr>
        <w:t xml:space="preserve">and analysis </w:t>
      </w:r>
      <w:r w:rsidR="00402089" w:rsidRPr="002B7E4F">
        <w:rPr>
          <w:rFonts w:ascii="Times" w:hAnsi="Times" w:cs="Times"/>
          <w:i/>
          <w:iCs/>
          <w:color w:val="000000"/>
          <w:sz w:val="22"/>
          <w:shd w:val="clear" w:color="auto" w:fill="FFFFFF"/>
        </w:rPr>
        <w:t xml:space="preserve">of the financial condition and results of operations of the Company should be read in conjunction with the interim consolidated financial statements and the related notes thereto included elsewhere in this Quarterly Report on Form 10-Q. All dollar amounts discussed below are in thousands of U.S. dollars except per share amounts, or unless otherwise stated. The interim financial statements have been prepared in accordance with </w:t>
      </w:r>
      <w:r w:rsidR="00CF0199" w:rsidRPr="002B7E4F">
        <w:rPr>
          <w:rFonts w:ascii="Times" w:hAnsi="Times" w:cs="Times"/>
          <w:i/>
          <w:iCs/>
          <w:color w:val="000000"/>
          <w:sz w:val="22"/>
          <w:shd w:val="clear" w:color="auto" w:fill="FFFFFF"/>
        </w:rPr>
        <w:t xml:space="preserve">U.S. </w:t>
      </w:r>
      <w:r w:rsidR="00402089" w:rsidRPr="002B7E4F">
        <w:rPr>
          <w:rFonts w:ascii="Times" w:hAnsi="Times" w:cs="Times"/>
          <w:i/>
          <w:iCs/>
          <w:color w:val="000000"/>
          <w:sz w:val="22"/>
          <w:shd w:val="clear" w:color="auto" w:fill="FFFFFF"/>
        </w:rPr>
        <w:t>GAAP.</w:t>
      </w:r>
      <w:r w:rsidR="00402089" w:rsidRPr="002B7E4F">
        <w:rPr>
          <w:i/>
          <w:iCs/>
          <w:sz w:val="22"/>
        </w:rPr>
        <w:t xml:space="preserve"> </w:t>
      </w:r>
      <w:r w:rsidR="00690897" w:rsidRPr="002B7E4F">
        <w:rPr>
          <w:i/>
          <w:iCs/>
          <w:sz w:val="22"/>
        </w:rPr>
        <w:t>This discussion and analysis contains forward</w:t>
      </w:r>
      <w:r w:rsidR="00690897" w:rsidRPr="002B7E4F">
        <w:rPr>
          <w:i/>
          <w:iCs/>
          <w:sz w:val="22"/>
        </w:rPr>
        <w:noBreakHyphen/>
        <w:t xml:space="preserve">looking statements that involve risk, uncertainties and assumptions.  Our actual results could differ materially from those anticipated in the </w:t>
      </w:r>
      <w:r w:rsidR="00FC739C">
        <w:rPr>
          <w:i/>
          <w:iCs/>
          <w:sz w:val="22"/>
        </w:rPr>
        <w:t>“F</w:t>
      </w:r>
      <w:r w:rsidR="00690897" w:rsidRPr="002B7E4F">
        <w:rPr>
          <w:i/>
          <w:iCs/>
          <w:sz w:val="22"/>
        </w:rPr>
        <w:t>orward</w:t>
      </w:r>
      <w:r w:rsidR="00690897" w:rsidRPr="002B7E4F">
        <w:rPr>
          <w:i/>
          <w:iCs/>
          <w:sz w:val="22"/>
        </w:rPr>
        <w:noBreakHyphen/>
        <w:t>looking statements</w:t>
      </w:r>
      <w:r w:rsidR="00FC739C">
        <w:rPr>
          <w:i/>
          <w:iCs/>
          <w:sz w:val="22"/>
        </w:rPr>
        <w:t>” set forth in this Quarterly Report on Form 10-Q</w:t>
      </w:r>
      <w:r w:rsidR="00690897" w:rsidRPr="002B7E4F">
        <w:rPr>
          <w:i/>
          <w:iCs/>
          <w:sz w:val="22"/>
        </w:rPr>
        <w:t xml:space="preserve"> as a result of many factors, including those </w:t>
      </w:r>
      <w:r w:rsidR="00FC739C">
        <w:rPr>
          <w:i/>
          <w:iCs/>
          <w:sz w:val="22"/>
        </w:rPr>
        <w:t xml:space="preserve">included and </w:t>
      </w:r>
      <w:r w:rsidR="00690897" w:rsidRPr="002B7E4F">
        <w:rPr>
          <w:i/>
          <w:iCs/>
          <w:sz w:val="22"/>
        </w:rPr>
        <w:t xml:space="preserve">discussed in </w:t>
      </w:r>
      <w:r w:rsidR="00FC739C">
        <w:rPr>
          <w:i/>
          <w:iCs/>
          <w:sz w:val="22"/>
        </w:rPr>
        <w:t xml:space="preserve">“Forward-looking statements” and </w:t>
      </w:r>
      <w:r w:rsidR="00690897" w:rsidRPr="002B7E4F">
        <w:rPr>
          <w:i/>
          <w:iCs/>
          <w:sz w:val="22"/>
        </w:rPr>
        <w:t xml:space="preserve">“Risk factors” </w:t>
      </w:r>
      <w:r w:rsidR="00FC739C">
        <w:rPr>
          <w:i/>
          <w:iCs/>
          <w:sz w:val="22"/>
        </w:rPr>
        <w:t xml:space="preserve">set forth in PartI-Item 1A of our Annual Report on Form 10-K for fiscal year 2013 </w:t>
      </w:r>
      <w:r w:rsidR="00690897" w:rsidRPr="002B7E4F">
        <w:rPr>
          <w:i/>
          <w:iCs/>
          <w:sz w:val="22"/>
        </w:rPr>
        <w:t xml:space="preserve">and elsewhere in </w:t>
      </w:r>
      <w:r w:rsidR="00C55B68" w:rsidRPr="002B7E4F">
        <w:rPr>
          <w:i/>
          <w:iCs/>
          <w:sz w:val="22"/>
        </w:rPr>
        <w:t>this report</w:t>
      </w:r>
      <w:r w:rsidR="00690897" w:rsidRPr="002B7E4F">
        <w:rPr>
          <w:i/>
          <w:iCs/>
          <w:sz w:val="22"/>
        </w:rPr>
        <w:t>.</w:t>
      </w:r>
    </w:p>
    <w:p w:rsidR="00690897" w:rsidRPr="002B7E4F" w:rsidRDefault="00690897" w:rsidP="00690897">
      <w:pPr>
        <w:keepNext/>
        <w:keepLines/>
        <w:tabs>
          <w:tab w:val="left" w:pos="-720"/>
          <w:tab w:val="left" w:pos="720"/>
          <w:tab w:val="left" w:pos="1440"/>
        </w:tabs>
        <w:suppressAutoHyphens/>
        <w:spacing w:after="240"/>
        <w:rPr>
          <w:b/>
          <w:bCs/>
          <w:sz w:val="22"/>
        </w:rPr>
      </w:pPr>
      <w:r w:rsidRPr="002B7E4F">
        <w:rPr>
          <w:b/>
          <w:bCs/>
          <w:sz w:val="22"/>
        </w:rPr>
        <w:t>Overview</w:t>
      </w:r>
    </w:p>
    <w:p w:rsidR="00690897" w:rsidRPr="002B7E4F" w:rsidRDefault="006E58BF" w:rsidP="00690897">
      <w:pPr>
        <w:tabs>
          <w:tab w:val="left" w:pos="-720"/>
        </w:tabs>
        <w:suppressAutoHyphens/>
        <w:spacing w:after="240"/>
        <w:jc w:val="both"/>
        <w:rPr>
          <w:sz w:val="22"/>
        </w:rPr>
      </w:pPr>
      <w:r w:rsidRPr="002B7E4F">
        <w:rPr>
          <w:sz w:val="22"/>
        </w:rPr>
        <w:tab/>
      </w:r>
      <w:r w:rsidR="00690897" w:rsidRPr="002B7E4F">
        <w:rPr>
          <w:sz w:val="22"/>
        </w:rPr>
        <w:t xml:space="preserve">We are the largest intermodal chassis solutions provider, measured by total assets, for domestic and international transportation companies in North America.  Our principal business is providing marine and domestic chassis on both long and short-term leases or rental agreements to a diversified customer base including the world’s leading </w:t>
      </w:r>
      <w:r w:rsidR="00CA7B27" w:rsidRPr="002B7E4F">
        <w:rPr>
          <w:sz w:val="22"/>
        </w:rPr>
        <w:t xml:space="preserve">shipping </w:t>
      </w:r>
      <w:r w:rsidR="00690897" w:rsidRPr="002B7E4F">
        <w:rPr>
          <w:sz w:val="22"/>
        </w:rPr>
        <w:t xml:space="preserve">lines, Class I railroads, major U.S. intermodal transportation companies and motor carriers. </w:t>
      </w:r>
    </w:p>
    <w:p w:rsidR="00690897" w:rsidRPr="002B7E4F" w:rsidRDefault="006E58BF" w:rsidP="00690897">
      <w:pPr>
        <w:tabs>
          <w:tab w:val="left" w:pos="-720"/>
        </w:tabs>
        <w:suppressAutoHyphens/>
        <w:spacing w:after="240"/>
        <w:jc w:val="both"/>
        <w:rPr>
          <w:sz w:val="22"/>
        </w:rPr>
      </w:pPr>
      <w:r w:rsidRPr="002B7E4F">
        <w:rPr>
          <w:sz w:val="22"/>
        </w:rPr>
        <w:tab/>
      </w:r>
      <w:r w:rsidR="00690897" w:rsidRPr="002B7E4F">
        <w:rPr>
          <w:sz w:val="22"/>
        </w:rPr>
        <w:t xml:space="preserve">Our fleet of equipment </w:t>
      </w:r>
      <w:r w:rsidR="00241CF5" w:rsidRPr="002B7E4F">
        <w:rPr>
          <w:sz w:val="22"/>
        </w:rPr>
        <w:t xml:space="preserve">primarily </w:t>
      </w:r>
      <w:r w:rsidR="00690897" w:rsidRPr="002B7E4F">
        <w:rPr>
          <w:sz w:val="22"/>
        </w:rPr>
        <w:t>consists of marine and domestic chassis. These assets are owned, leased</w:t>
      </w:r>
      <w:r w:rsidR="00CF1902" w:rsidRPr="002B7E4F">
        <w:rPr>
          <w:sz w:val="22"/>
        </w:rPr>
        <w:t>-</w:t>
      </w:r>
      <w:r w:rsidR="00241CF5" w:rsidRPr="002B7E4F">
        <w:rPr>
          <w:sz w:val="22"/>
        </w:rPr>
        <w:t>in</w:t>
      </w:r>
      <w:r w:rsidR="00690897" w:rsidRPr="002B7E4F">
        <w:rPr>
          <w:sz w:val="22"/>
        </w:rPr>
        <w:t xml:space="preserve"> or managed by us on behalf of third-party owners in pooling arrangements. As of </w:t>
      </w:r>
      <w:r w:rsidR="002B7E4F">
        <w:rPr>
          <w:sz w:val="22"/>
        </w:rPr>
        <w:t>March</w:t>
      </w:r>
      <w:r w:rsidR="00690897" w:rsidRPr="002B7E4F">
        <w:rPr>
          <w:sz w:val="22"/>
        </w:rPr>
        <w:t> 3</w:t>
      </w:r>
      <w:r w:rsidR="002B7E4F">
        <w:rPr>
          <w:sz w:val="22"/>
        </w:rPr>
        <w:t>1</w:t>
      </w:r>
      <w:r w:rsidR="00690897" w:rsidRPr="002B7E4F">
        <w:rPr>
          <w:sz w:val="22"/>
        </w:rPr>
        <w:t>, 201</w:t>
      </w:r>
      <w:r w:rsidR="002B7E4F">
        <w:rPr>
          <w:sz w:val="22"/>
        </w:rPr>
        <w:t>4</w:t>
      </w:r>
      <w:r w:rsidR="00690897" w:rsidRPr="002B7E4F">
        <w:rPr>
          <w:sz w:val="22"/>
        </w:rPr>
        <w:t>, we owned</w:t>
      </w:r>
      <w:r w:rsidR="00241CF5" w:rsidRPr="002B7E4F">
        <w:rPr>
          <w:sz w:val="22"/>
        </w:rPr>
        <w:t>, leased</w:t>
      </w:r>
      <w:r w:rsidR="00CF1902" w:rsidRPr="002B7E4F">
        <w:rPr>
          <w:sz w:val="22"/>
        </w:rPr>
        <w:t>-</w:t>
      </w:r>
      <w:r w:rsidR="00241CF5" w:rsidRPr="002B7E4F">
        <w:rPr>
          <w:sz w:val="22"/>
        </w:rPr>
        <w:t>in</w:t>
      </w:r>
      <w:r w:rsidR="00690897" w:rsidRPr="002B7E4F">
        <w:rPr>
          <w:sz w:val="22"/>
        </w:rPr>
        <w:t xml:space="preserve"> or managed a </w:t>
      </w:r>
      <w:r w:rsidR="00690897" w:rsidRPr="00FB6264">
        <w:rPr>
          <w:sz w:val="22"/>
        </w:rPr>
        <w:t>fleet of</w:t>
      </w:r>
      <w:r w:rsidR="00FB6264" w:rsidRPr="00FB6264">
        <w:rPr>
          <w:sz w:val="22"/>
        </w:rPr>
        <w:t xml:space="preserve"> </w:t>
      </w:r>
      <w:r w:rsidR="00690897" w:rsidRPr="00FB6264">
        <w:rPr>
          <w:sz w:val="22"/>
        </w:rPr>
        <w:t>30</w:t>
      </w:r>
      <w:r w:rsidR="00DF2CF7" w:rsidRPr="00FB6264">
        <w:rPr>
          <w:sz w:val="22"/>
        </w:rPr>
        <w:t>9</w:t>
      </w:r>
      <w:r w:rsidR="00690897" w:rsidRPr="00FB6264">
        <w:rPr>
          <w:sz w:val="22"/>
        </w:rPr>
        <w:t>,</w:t>
      </w:r>
      <w:r w:rsidR="00FB6264" w:rsidRPr="00FB6264">
        <w:rPr>
          <w:sz w:val="22"/>
        </w:rPr>
        <w:t>430</w:t>
      </w:r>
      <w:r w:rsidR="00690897" w:rsidRPr="00FB6264">
        <w:rPr>
          <w:sz w:val="22"/>
        </w:rPr>
        <w:t xml:space="preserve"> chassis and units available</w:t>
      </w:r>
      <w:r w:rsidR="00690897" w:rsidRPr="002B7E4F">
        <w:rPr>
          <w:sz w:val="22"/>
        </w:rPr>
        <w:t xml:space="preserve"> for remanufacture. The net book value of our owned equipment was </w:t>
      </w:r>
      <w:r w:rsidR="00690897" w:rsidRPr="008F44C6">
        <w:rPr>
          <w:sz w:val="22"/>
        </w:rPr>
        <w:t>approximately $1.41 billion.</w:t>
      </w:r>
    </w:p>
    <w:p w:rsidR="00C55B68" w:rsidRPr="002B7E4F" w:rsidRDefault="00FB1CE5" w:rsidP="00C55B68">
      <w:pPr>
        <w:tabs>
          <w:tab w:val="left" w:pos="-720"/>
        </w:tabs>
        <w:suppressAutoHyphens/>
        <w:spacing w:after="240"/>
        <w:jc w:val="both"/>
        <w:rPr>
          <w:sz w:val="22"/>
        </w:rPr>
      </w:pPr>
      <w:r>
        <w:rPr>
          <w:sz w:val="22"/>
        </w:rPr>
        <w:tab/>
      </w:r>
      <w:r w:rsidR="00C55B68" w:rsidRPr="002B7E4F">
        <w:rPr>
          <w:sz w:val="22"/>
        </w:rPr>
        <w:t>We operate our business through two operating segments: the Marine Market segment and the Domestic Market segment.</w:t>
      </w:r>
    </w:p>
    <w:p w:rsidR="00C55B68" w:rsidRPr="00FC6B3A" w:rsidRDefault="00C55B68" w:rsidP="00C55B68">
      <w:pPr>
        <w:tabs>
          <w:tab w:val="left" w:pos="-720"/>
        </w:tabs>
        <w:suppressAutoHyphens/>
        <w:spacing w:after="240"/>
        <w:jc w:val="both"/>
        <w:rPr>
          <w:sz w:val="22"/>
        </w:rPr>
      </w:pPr>
      <w:r w:rsidRPr="00FC6B3A">
        <w:rPr>
          <w:sz w:val="22"/>
        </w:rPr>
        <w:t>•</w:t>
      </w:r>
      <w:r w:rsidRPr="00FC6B3A">
        <w:rPr>
          <w:sz w:val="22"/>
        </w:rPr>
        <w:tab/>
        <w:t xml:space="preserve">Marine Market segment—primarily serving shipping lines and motor carriers with 20’, 40’ and 45’ foot chassis. These chassis are used in the transport of dry or refrigerated marine shipping containers of the same size carrying goods between port terminals and/or railroad ramps and retail or wholesale warehouses or store locations, principally in the United States. We offer customers both long-term leases and short-term leases or rental agreements. As of </w:t>
      </w:r>
      <w:r w:rsidR="00FC6B3A" w:rsidRPr="00FC6B3A">
        <w:rPr>
          <w:sz w:val="22"/>
        </w:rPr>
        <w:t>March</w:t>
      </w:r>
      <w:r w:rsidRPr="00FC6B3A">
        <w:rPr>
          <w:sz w:val="22"/>
        </w:rPr>
        <w:t xml:space="preserve"> 3</w:t>
      </w:r>
      <w:r w:rsidR="00FC6B3A" w:rsidRPr="00FC6B3A">
        <w:rPr>
          <w:sz w:val="22"/>
        </w:rPr>
        <w:t>1</w:t>
      </w:r>
      <w:r w:rsidRPr="00FC6B3A">
        <w:rPr>
          <w:sz w:val="22"/>
        </w:rPr>
        <w:t>, 201</w:t>
      </w:r>
      <w:r w:rsidR="00FC6B3A">
        <w:rPr>
          <w:sz w:val="22"/>
        </w:rPr>
        <w:t>4</w:t>
      </w:r>
      <w:r w:rsidRPr="00FC6B3A">
        <w:rPr>
          <w:sz w:val="22"/>
        </w:rPr>
        <w:t xml:space="preserve">, our active fleet </w:t>
      </w:r>
      <w:r w:rsidRPr="00FB6264">
        <w:rPr>
          <w:sz w:val="22"/>
        </w:rPr>
        <w:t xml:space="preserve">included </w:t>
      </w:r>
      <w:r w:rsidR="00241CF5" w:rsidRPr="00FB6264">
        <w:rPr>
          <w:sz w:val="22"/>
        </w:rPr>
        <w:t>20</w:t>
      </w:r>
      <w:r w:rsidR="00FB6264" w:rsidRPr="00FB6264">
        <w:rPr>
          <w:sz w:val="22"/>
        </w:rPr>
        <w:t>1</w:t>
      </w:r>
      <w:r w:rsidR="00241CF5" w:rsidRPr="00FB6264">
        <w:rPr>
          <w:sz w:val="22"/>
        </w:rPr>
        <w:t>,</w:t>
      </w:r>
      <w:r w:rsidR="00FB6264" w:rsidRPr="00FB6264">
        <w:rPr>
          <w:sz w:val="22"/>
        </w:rPr>
        <w:t>100</w:t>
      </w:r>
      <w:r w:rsidRPr="00FB6264">
        <w:rPr>
          <w:sz w:val="22"/>
        </w:rPr>
        <w:t> marine chassis</w:t>
      </w:r>
      <w:r w:rsidRPr="00FC6B3A">
        <w:rPr>
          <w:sz w:val="22"/>
        </w:rPr>
        <w:t>.</w:t>
      </w:r>
    </w:p>
    <w:p w:rsidR="00C55B68" w:rsidRPr="00FC6B3A" w:rsidRDefault="00C55B68" w:rsidP="00690897">
      <w:pPr>
        <w:tabs>
          <w:tab w:val="left" w:pos="-720"/>
        </w:tabs>
        <w:suppressAutoHyphens/>
        <w:spacing w:after="240"/>
        <w:jc w:val="both"/>
        <w:rPr>
          <w:sz w:val="22"/>
        </w:rPr>
      </w:pPr>
      <w:r w:rsidRPr="00FC6B3A">
        <w:rPr>
          <w:sz w:val="22"/>
        </w:rPr>
        <w:t>•</w:t>
      </w:r>
      <w:r w:rsidRPr="00FC6B3A">
        <w:rPr>
          <w:sz w:val="22"/>
        </w:rPr>
        <w:tab/>
        <w:t xml:space="preserve">Domestic Market segment—primarily serving railroads and major U.S. intermodal transportation companies with 53’ chassis. These chassis are used in the transport of domestic shipping containers of the same size carrying goods between railroad ramps and retail or wholesale warehouses or store locations, principally in the United States. We offer customers both long-term leases and short-term leases or rental agreements. As of </w:t>
      </w:r>
      <w:r w:rsidR="00FC6B3A">
        <w:rPr>
          <w:sz w:val="22"/>
        </w:rPr>
        <w:t>March</w:t>
      </w:r>
      <w:r w:rsidRPr="00FC6B3A">
        <w:rPr>
          <w:sz w:val="22"/>
        </w:rPr>
        <w:t> 3</w:t>
      </w:r>
      <w:r w:rsidR="00FC6B3A">
        <w:rPr>
          <w:sz w:val="22"/>
        </w:rPr>
        <w:t>1</w:t>
      </w:r>
      <w:r w:rsidRPr="00FC6B3A">
        <w:rPr>
          <w:sz w:val="22"/>
        </w:rPr>
        <w:t>, 201</w:t>
      </w:r>
      <w:r w:rsidR="00FC6B3A">
        <w:rPr>
          <w:sz w:val="22"/>
        </w:rPr>
        <w:t>4</w:t>
      </w:r>
      <w:r w:rsidRPr="00FC6B3A">
        <w:rPr>
          <w:sz w:val="22"/>
        </w:rPr>
        <w:t xml:space="preserve">, our active fleet </w:t>
      </w:r>
      <w:r w:rsidRPr="00C747F5">
        <w:rPr>
          <w:sz w:val="22"/>
        </w:rPr>
        <w:t xml:space="preserve">included </w:t>
      </w:r>
      <w:r w:rsidR="00241CF5" w:rsidRPr="00C747F5">
        <w:rPr>
          <w:sz w:val="22"/>
        </w:rPr>
        <w:t>7</w:t>
      </w:r>
      <w:r w:rsidR="00C747F5" w:rsidRPr="00C747F5">
        <w:rPr>
          <w:sz w:val="22"/>
        </w:rPr>
        <w:t>3</w:t>
      </w:r>
      <w:r w:rsidR="00241CF5" w:rsidRPr="00C747F5">
        <w:rPr>
          <w:sz w:val="22"/>
        </w:rPr>
        <w:t>,</w:t>
      </w:r>
      <w:r w:rsidR="00C747F5" w:rsidRPr="00C747F5">
        <w:rPr>
          <w:sz w:val="22"/>
        </w:rPr>
        <w:t>789</w:t>
      </w:r>
      <w:r w:rsidRPr="00C747F5">
        <w:rPr>
          <w:sz w:val="22"/>
        </w:rPr>
        <w:t xml:space="preserve"> domestic</w:t>
      </w:r>
      <w:r w:rsidRPr="00FC6B3A">
        <w:rPr>
          <w:sz w:val="22"/>
        </w:rPr>
        <w:t xml:space="preserve"> chassis.</w:t>
      </w:r>
    </w:p>
    <w:p w:rsidR="00690897" w:rsidRPr="0053635E" w:rsidRDefault="00690897" w:rsidP="00866753">
      <w:pPr>
        <w:widowControl/>
        <w:autoSpaceDE/>
        <w:autoSpaceDN/>
        <w:adjustRightInd/>
        <w:spacing w:after="240"/>
        <w:ind w:firstLine="720"/>
        <w:jc w:val="both"/>
        <w:rPr>
          <w:sz w:val="22"/>
          <w:highlight w:val="yellow"/>
        </w:rPr>
      </w:pPr>
      <w:r w:rsidRPr="00D43C8C">
        <w:rPr>
          <w:sz w:val="22"/>
        </w:rPr>
        <w:t xml:space="preserve">As of </w:t>
      </w:r>
      <w:r w:rsidR="00D43C8C" w:rsidRPr="00D43C8C">
        <w:rPr>
          <w:sz w:val="22"/>
        </w:rPr>
        <w:t>March</w:t>
      </w:r>
      <w:r w:rsidRPr="00D43C8C">
        <w:rPr>
          <w:sz w:val="22"/>
        </w:rPr>
        <w:t xml:space="preserve"> 3</w:t>
      </w:r>
      <w:r w:rsidR="00D43C8C" w:rsidRPr="00D43C8C">
        <w:rPr>
          <w:sz w:val="22"/>
        </w:rPr>
        <w:t>1</w:t>
      </w:r>
      <w:r w:rsidRPr="00D43C8C">
        <w:rPr>
          <w:sz w:val="22"/>
        </w:rPr>
        <w:t>, 201</w:t>
      </w:r>
      <w:r w:rsidR="00D43C8C" w:rsidRPr="00D43C8C">
        <w:rPr>
          <w:sz w:val="22"/>
        </w:rPr>
        <w:t>4</w:t>
      </w:r>
      <w:r w:rsidRPr="00D43C8C">
        <w:rPr>
          <w:sz w:val="22"/>
        </w:rPr>
        <w:t xml:space="preserve">, </w:t>
      </w:r>
      <w:r w:rsidRPr="00C747F5">
        <w:rPr>
          <w:sz w:val="22"/>
        </w:rPr>
        <w:t>approximately 2</w:t>
      </w:r>
      <w:r w:rsidR="00DF2CF7" w:rsidRPr="00C747F5">
        <w:rPr>
          <w:sz w:val="22"/>
        </w:rPr>
        <w:t>2</w:t>
      </w:r>
      <w:r w:rsidRPr="00C747F5">
        <w:rPr>
          <w:sz w:val="22"/>
        </w:rPr>
        <w:t>%, 3%, and 7</w:t>
      </w:r>
      <w:r w:rsidR="00DF2CF7" w:rsidRPr="00C747F5">
        <w:rPr>
          <w:sz w:val="22"/>
        </w:rPr>
        <w:t>5</w:t>
      </w:r>
      <w:r w:rsidRPr="00C747F5">
        <w:rPr>
          <w:sz w:val="22"/>
        </w:rPr>
        <w:t>% of our on-hire chassis</w:t>
      </w:r>
      <w:r w:rsidRPr="00D43C8C">
        <w:rPr>
          <w:sz w:val="22"/>
        </w:rPr>
        <w:t xml:space="preserve"> fleet was leased on term leases, direct finance leases or in chassis pools, respectively. As of </w:t>
      </w:r>
      <w:r w:rsidR="00D43C8C">
        <w:rPr>
          <w:sz w:val="22"/>
        </w:rPr>
        <w:t>March</w:t>
      </w:r>
      <w:r w:rsidRPr="00D43C8C">
        <w:rPr>
          <w:sz w:val="22"/>
        </w:rPr>
        <w:t> 3</w:t>
      </w:r>
      <w:r w:rsidR="00D43C8C">
        <w:rPr>
          <w:sz w:val="22"/>
        </w:rPr>
        <w:t>1</w:t>
      </w:r>
      <w:r w:rsidRPr="00D43C8C">
        <w:rPr>
          <w:sz w:val="22"/>
        </w:rPr>
        <w:t>, 201</w:t>
      </w:r>
      <w:r w:rsidR="00D43C8C">
        <w:rPr>
          <w:sz w:val="22"/>
        </w:rPr>
        <w:t>4</w:t>
      </w:r>
      <w:r w:rsidRPr="001B3D14">
        <w:rPr>
          <w:sz w:val="22"/>
        </w:rPr>
        <w:t>, 3</w:t>
      </w:r>
      <w:r w:rsidR="001B3D14" w:rsidRPr="001B3D14">
        <w:rPr>
          <w:sz w:val="22"/>
        </w:rPr>
        <w:t>5</w:t>
      </w:r>
      <w:r w:rsidRPr="001B3D14">
        <w:rPr>
          <w:sz w:val="22"/>
        </w:rPr>
        <w:t>% of our on-hire</w:t>
      </w:r>
      <w:r w:rsidRPr="00D43C8C">
        <w:rPr>
          <w:sz w:val="22"/>
        </w:rPr>
        <w:t xml:space="preserve"> fleet was under existing agreements that provided for total contractual cash </w:t>
      </w:r>
      <w:r w:rsidRPr="00092B9E">
        <w:rPr>
          <w:sz w:val="22"/>
        </w:rPr>
        <w:t>flow of $</w:t>
      </w:r>
      <w:r w:rsidR="001B3D14" w:rsidRPr="00092B9E">
        <w:rPr>
          <w:sz w:val="22"/>
        </w:rPr>
        <w:t>250.0</w:t>
      </w:r>
      <w:r w:rsidRPr="00092B9E">
        <w:rPr>
          <w:sz w:val="22"/>
        </w:rPr>
        <w:t> million over the remaining</w:t>
      </w:r>
      <w:r w:rsidRPr="00D43C8C">
        <w:rPr>
          <w:sz w:val="22"/>
        </w:rPr>
        <w:t xml:space="preserve"> life of the contracts assuming no leases are further renewed upon expiration</w:t>
      </w:r>
      <w:r w:rsidR="00092B9E">
        <w:rPr>
          <w:sz w:val="22"/>
        </w:rPr>
        <w:t>.</w:t>
      </w:r>
      <w:r w:rsidR="00866753">
        <w:rPr>
          <w:sz w:val="22"/>
        </w:rPr>
        <w:t xml:space="preserve">  </w:t>
      </w:r>
      <w:r w:rsidR="00866753" w:rsidRPr="008F44C6">
        <w:rPr>
          <w:rFonts w:eastAsia="MS Mincho"/>
          <w:sz w:val="22"/>
        </w:rPr>
        <w:t>Our utilization rates are determined by the percentage of our total fleet that is on-hire</w:t>
      </w:r>
      <w:r w:rsidR="00D429E7">
        <w:rPr>
          <w:rFonts w:eastAsia="MS Mincho"/>
          <w:sz w:val="22"/>
        </w:rPr>
        <w:t xml:space="preserve"> divided by the total fleet</w:t>
      </w:r>
      <w:r w:rsidR="00866753" w:rsidRPr="008F44C6">
        <w:rPr>
          <w:rFonts w:eastAsia="MS Mincho"/>
          <w:sz w:val="22"/>
        </w:rPr>
        <w:t>, excluding chassis awaiting the remanufacture process.</w:t>
      </w:r>
      <w:r w:rsidR="00866753">
        <w:rPr>
          <w:rFonts w:eastAsia="MS Mincho"/>
          <w:sz w:val="22"/>
        </w:rPr>
        <w:t xml:space="preserve">  </w:t>
      </w:r>
      <w:r w:rsidR="00866753" w:rsidRPr="008F44C6">
        <w:rPr>
          <w:rFonts w:eastAsia="MS Mincho"/>
          <w:sz w:val="22"/>
        </w:rPr>
        <w:t xml:space="preserve">As of March 31, 2014 and 2013, our utilization </w:t>
      </w:r>
      <w:r w:rsidR="00866753" w:rsidRPr="00BE16A4">
        <w:rPr>
          <w:rFonts w:eastAsia="MS Mincho"/>
          <w:sz w:val="22"/>
        </w:rPr>
        <w:t>rates were 92.7% and 92.3%,</w:t>
      </w:r>
      <w:r w:rsidR="00866753" w:rsidRPr="008F44C6">
        <w:rPr>
          <w:rFonts w:eastAsia="MS Mincho"/>
          <w:sz w:val="22"/>
        </w:rPr>
        <w:t xml:space="preserve"> respectively.</w:t>
      </w:r>
    </w:p>
    <w:p w:rsidR="00690897" w:rsidRPr="0053635E" w:rsidRDefault="00690897" w:rsidP="00690897">
      <w:pPr>
        <w:tabs>
          <w:tab w:val="left" w:pos="-720"/>
        </w:tabs>
        <w:suppressAutoHyphens/>
        <w:spacing w:after="240"/>
        <w:jc w:val="both"/>
        <w:rPr>
          <w:sz w:val="22"/>
          <w:highlight w:val="yellow"/>
        </w:rPr>
      </w:pPr>
    </w:p>
    <w:p w:rsidR="00690897" w:rsidRPr="00683911" w:rsidRDefault="00690897" w:rsidP="00690897">
      <w:pPr>
        <w:tabs>
          <w:tab w:val="left" w:pos="-720"/>
        </w:tabs>
        <w:suppressAutoHyphens/>
        <w:spacing w:after="240"/>
        <w:rPr>
          <w:sz w:val="22"/>
        </w:rPr>
      </w:pPr>
      <w:r w:rsidRPr="00683911">
        <w:rPr>
          <w:sz w:val="22"/>
        </w:rPr>
        <w:lastRenderedPageBreak/>
        <w:t xml:space="preserve">The table below summarizes our total fleet by type of lease as of </w:t>
      </w:r>
      <w:r w:rsidR="00683911" w:rsidRPr="00683911">
        <w:rPr>
          <w:sz w:val="22"/>
        </w:rPr>
        <w:t>March</w:t>
      </w:r>
      <w:r w:rsidRPr="00683911">
        <w:rPr>
          <w:sz w:val="22"/>
        </w:rPr>
        <w:t xml:space="preserve"> 3</w:t>
      </w:r>
      <w:r w:rsidR="00683911" w:rsidRPr="00683911">
        <w:rPr>
          <w:sz w:val="22"/>
        </w:rPr>
        <w:t>1</w:t>
      </w:r>
      <w:r w:rsidRPr="00683911">
        <w:rPr>
          <w:sz w:val="22"/>
        </w:rPr>
        <w:t>, 201</w:t>
      </w:r>
      <w:r w:rsidR="00683911" w:rsidRPr="00683911">
        <w:rPr>
          <w:sz w:val="22"/>
        </w:rPr>
        <w:t>4</w:t>
      </w:r>
      <w:r w:rsidRPr="00683911">
        <w:rPr>
          <w:sz w:val="22"/>
        </w:rPr>
        <w:t>:</w:t>
      </w:r>
    </w:p>
    <w:tbl>
      <w:tblPr>
        <w:tblW w:w="4886" w:type="pct"/>
        <w:jc w:val="center"/>
        <w:tblCellMar>
          <w:left w:w="72" w:type="dxa"/>
          <w:right w:w="72" w:type="dxa"/>
        </w:tblCellMar>
        <w:tblLook w:val="0000" w:firstRow="0" w:lastRow="0" w:firstColumn="0" w:lastColumn="0" w:noHBand="0" w:noVBand="0"/>
      </w:tblPr>
      <w:tblGrid>
        <w:gridCol w:w="3099"/>
        <w:gridCol w:w="1259"/>
        <w:gridCol w:w="1169"/>
        <w:gridCol w:w="1141"/>
        <w:gridCol w:w="1205"/>
        <w:gridCol w:w="1085"/>
        <w:gridCol w:w="1033"/>
      </w:tblGrid>
      <w:tr w:rsidR="00690897" w:rsidRPr="0053635E" w:rsidTr="00183789">
        <w:trPr>
          <w:cantSplit/>
          <w:jc w:val="center"/>
        </w:trPr>
        <w:tc>
          <w:tcPr>
            <w:tcW w:w="1551" w:type="pct"/>
            <w:tcBorders>
              <w:top w:val="nil"/>
              <w:left w:val="nil"/>
              <w:bottom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highlight w:val="yellow"/>
              </w:rPr>
            </w:pPr>
          </w:p>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highlight w:val="yellow"/>
              </w:rPr>
            </w:pPr>
          </w:p>
        </w:tc>
        <w:tc>
          <w:tcPr>
            <w:tcW w:w="1215" w:type="pct"/>
            <w:gridSpan w:val="2"/>
            <w:tcBorders>
              <w:top w:val="nil"/>
              <w:left w:val="nil"/>
              <w:bottom w:val="nil"/>
              <w:right w:val="nil"/>
            </w:tcBorders>
            <w:vAlign w:val="bottom"/>
          </w:tcPr>
          <w:p w:rsidR="00690897" w:rsidRPr="00683911" w:rsidRDefault="00690897" w:rsidP="0069089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rPr>
            </w:pPr>
            <w:r w:rsidRPr="00683911">
              <w:rPr>
                <w:b/>
                <w:bCs/>
              </w:rPr>
              <w:t>Units</w:t>
            </w:r>
          </w:p>
        </w:tc>
        <w:tc>
          <w:tcPr>
            <w:tcW w:w="1174" w:type="pct"/>
            <w:gridSpan w:val="2"/>
            <w:tcBorders>
              <w:top w:val="nil"/>
              <w:left w:val="nil"/>
              <w:bottom w:val="nil"/>
              <w:right w:val="nil"/>
            </w:tcBorders>
            <w:vAlign w:val="bottom"/>
          </w:tcPr>
          <w:p w:rsidR="00690897" w:rsidRPr="00683911" w:rsidRDefault="00690897" w:rsidP="0069089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rPr>
            </w:pPr>
            <w:r w:rsidRPr="00683911">
              <w:rPr>
                <w:b/>
                <w:bCs/>
              </w:rPr>
              <w:t>Net book value</w:t>
            </w:r>
          </w:p>
        </w:tc>
        <w:tc>
          <w:tcPr>
            <w:tcW w:w="543" w:type="pct"/>
            <w:tcBorders>
              <w:top w:val="nil"/>
              <w:left w:val="nil"/>
              <w:bottom w:val="nil"/>
              <w:right w:val="nil"/>
            </w:tcBorders>
            <w:vAlign w:val="bottom"/>
          </w:tcPr>
          <w:p w:rsidR="00690897" w:rsidRPr="00683911"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rPr>
            </w:pPr>
          </w:p>
        </w:tc>
        <w:tc>
          <w:tcPr>
            <w:tcW w:w="517" w:type="pct"/>
            <w:tcBorders>
              <w:top w:val="nil"/>
              <w:left w:val="nil"/>
              <w:bottom w:val="nil"/>
              <w:right w:val="nil"/>
            </w:tcBorders>
            <w:vAlign w:val="bottom"/>
          </w:tcPr>
          <w:p w:rsidR="00690897" w:rsidRPr="00683911"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rPr>
            </w:pPr>
          </w:p>
        </w:tc>
      </w:tr>
      <w:tr w:rsidR="00690897" w:rsidRPr="0053635E" w:rsidTr="00183789">
        <w:trPr>
          <w:cantSplit/>
          <w:jc w:val="center"/>
        </w:trPr>
        <w:tc>
          <w:tcPr>
            <w:tcW w:w="1551" w:type="pct"/>
            <w:tcBorders>
              <w:top w:val="nil"/>
              <w:left w:val="nil"/>
              <w:bottom w:val="nil"/>
              <w:right w:val="nil"/>
            </w:tcBorders>
            <w:vAlign w:val="bottom"/>
          </w:tcPr>
          <w:p w:rsidR="00690897" w:rsidRPr="00683911" w:rsidRDefault="00690897" w:rsidP="00690897">
            <w:pPr>
              <w:tabs>
                <w:tab w:val="left" w:pos="0"/>
                <w:tab w:val="left" w:pos="216"/>
                <w:tab w:val="left" w:pos="432"/>
                <w:tab w:val="left" w:pos="648"/>
                <w:tab w:val="left" w:pos="864"/>
                <w:tab w:val="left" w:pos="1080"/>
                <w:tab w:val="left" w:pos="1296"/>
                <w:tab w:val="left" w:pos="1512"/>
                <w:tab w:val="left" w:pos="1728"/>
              </w:tabs>
              <w:suppressAutoHyphens/>
              <w:spacing w:after="20"/>
              <w:rPr>
                <w:b/>
                <w:bCs/>
              </w:rPr>
            </w:pPr>
            <w:r w:rsidRPr="00683911">
              <w:rPr>
                <w:b/>
                <w:bCs/>
              </w:rPr>
              <w:t>Total fleet by lease type</w:t>
            </w:r>
          </w:p>
        </w:tc>
        <w:tc>
          <w:tcPr>
            <w:tcW w:w="630" w:type="pct"/>
            <w:tcBorders>
              <w:top w:val="nil"/>
              <w:left w:val="nil"/>
              <w:bottom w:val="nil"/>
              <w:right w:val="nil"/>
            </w:tcBorders>
            <w:vAlign w:val="bottom"/>
          </w:tcPr>
          <w:p w:rsidR="00690897" w:rsidRPr="00683911" w:rsidRDefault="00690897" w:rsidP="00CA7B2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rPr>
            </w:pPr>
            <w:r w:rsidRPr="00683911">
              <w:rPr>
                <w:b/>
                <w:bCs/>
              </w:rPr>
              <w:t># of units</w:t>
            </w:r>
          </w:p>
        </w:tc>
        <w:tc>
          <w:tcPr>
            <w:tcW w:w="585" w:type="pct"/>
            <w:tcBorders>
              <w:top w:val="nil"/>
              <w:left w:val="nil"/>
              <w:bottom w:val="nil"/>
              <w:right w:val="nil"/>
            </w:tcBorders>
            <w:vAlign w:val="bottom"/>
          </w:tcPr>
          <w:p w:rsidR="00690897" w:rsidRPr="00683911" w:rsidRDefault="00690897" w:rsidP="00CA7B2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rPr>
            </w:pPr>
            <w:r w:rsidRPr="00683911">
              <w:rPr>
                <w:b/>
                <w:bCs/>
              </w:rPr>
              <w:t>% of total</w:t>
            </w:r>
          </w:p>
        </w:tc>
        <w:tc>
          <w:tcPr>
            <w:tcW w:w="571" w:type="pct"/>
            <w:tcBorders>
              <w:top w:val="nil"/>
              <w:left w:val="nil"/>
              <w:bottom w:val="nil"/>
              <w:right w:val="nil"/>
            </w:tcBorders>
            <w:vAlign w:val="bottom"/>
          </w:tcPr>
          <w:p w:rsidR="00690897" w:rsidRPr="00683911" w:rsidRDefault="00690897" w:rsidP="0069089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rPr>
            </w:pPr>
            <w:r w:rsidRPr="00683911">
              <w:rPr>
                <w:b/>
                <w:bCs/>
              </w:rPr>
              <w:t>$ in millions</w:t>
            </w:r>
          </w:p>
        </w:tc>
        <w:tc>
          <w:tcPr>
            <w:tcW w:w="603" w:type="pct"/>
            <w:tcBorders>
              <w:top w:val="nil"/>
              <w:left w:val="nil"/>
              <w:bottom w:val="nil"/>
              <w:right w:val="nil"/>
            </w:tcBorders>
            <w:vAlign w:val="bottom"/>
          </w:tcPr>
          <w:p w:rsidR="00690897" w:rsidRPr="00683911" w:rsidRDefault="00690897" w:rsidP="00CA7B2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rPr>
            </w:pPr>
            <w:r w:rsidRPr="00683911">
              <w:rPr>
                <w:b/>
                <w:bCs/>
              </w:rPr>
              <w:t>% of total</w:t>
            </w:r>
          </w:p>
        </w:tc>
        <w:tc>
          <w:tcPr>
            <w:tcW w:w="543" w:type="pct"/>
            <w:tcBorders>
              <w:top w:val="nil"/>
              <w:left w:val="nil"/>
              <w:bottom w:val="nil"/>
              <w:right w:val="nil"/>
            </w:tcBorders>
            <w:vAlign w:val="bottom"/>
          </w:tcPr>
          <w:p w:rsidR="00690897" w:rsidRPr="00683911" w:rsidRDefault="00690897" w:rsidP="0069089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rPr>
            </w:pPr>
            <w:r w:rsidRPr="00683911">
              <w:rPr>
                <w:b/>
                <w:bCs/>
              </w:rPr>
              <w:t>Average age</w:t>
            </w:r>
            <w:r w:rsidRPr="00683911">
              <w:rPr>
                <w:b/>
                <w:bCs/>
              </w:rPr>
              <w:br/>
              <w:t>(in years)</w:t>
            </w:r>
          </w:p>
        </w:tc>
        <w:tc>
          <w:tcPr>
            <w:tcW w:w="517" w:type="pct"/>
            <w:tcBorders>
              <w:top w:val="nil"/>
              <w:left w:val="nil"/>
              <w:bottom w:val="nil"/>
              <w:right w:val="nil"/>
            </w:tcBorders>
            <w:vAlign w:val="bottom"/>
          </w:tcPr>
          <w:p w:rsidR="00690897" w:rsidRPr="00683911" w:rsidRDefault="00690897" w:rsidP="0069089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rPr>
            </w:pPr>
            <w:r w:rsidRPr="00683911">
              <w:rPr>
                <w:b/>
                <w:bCs/>
              </w:rPr>
              <w:t>% of</w:t>
            </w:r>
          </w:p>
          <w:p w:rsidR="00690897" w:rsidRPr="00683911" w:rsidRDefault="00690897" w:rsidP="0069089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rPr>
            </w:pPr>
            <w:r w:rsidRPr="00683911">
              <w:rPr>
                <w:b/>
                <w:bCs/>
              </w:rPr>
              <w:t>On-hire</w:t>
            </w:r>
            <w:r w:rsidRPr="00683911">
              <w:rPr>
                <w:b/>
                <w:bCs/>
              </w:rPr>
              <w:br/>
              <w:t>fleet</w:t>
            </w:r>
          </w:p>
        </w:tc>
      </w:tr>
      <w:tr w:rsidR="00690897" w:rsidRPr="0053635E" w:rsidTr="00183789">
        <w:trPr>
          <w:cantSplit/>
          <w:jc w:val="center"/>
        </w:trPr>
        <w:tc>
          <w:tcPr>
            <w:tcW w:w="1551" w:type="pct"/>
            <w:tcBorders>
              <w:top w:val="nil"/>
              <w:left w:val="nil"/>
              <w:bottom w:val="nil"/>
              <w:right w:val="nil"/>
            </w:tcBorders>
          </w:tcPr>
          <w:p w:rsidR="00690897" w:rsidRPr="00683911" w:rsidRDefault="00690897" w:rsidP="00690897">
            <w:pPr>
              <w:tabs>
                <w:tab w:val="right" w:leader="dot" w:pos="1740"/>
              </w:tabs>
              <w:suppressAutoHyphens/>
              <w:ind w:left="200" w:hanging="200"/>
            </w:pPr>
            <w:r w:rsidRPr="00683911">
              <w:t>Term lease</w:t>
            </w:r>
          </w:p>
        </w:tc>
        <w:tc>
          <w:tcPr>
            <w:tcW w:w="630" w:type="pct"/>
            <w:tcBorders>
              <w:top w:val="nil"/>
              <w:left w:val="nil"/>
              <w:bottom w:val="nil"/>
              <w:right w:val="nil"/>
            </w:tcBorders>
            <w:vAlign w:val="bottom"/>
          </w:tcPr>
          <w:p w:rsidR="00690897" w:rsidRPr="00891125" w:rsidRDefault="00911EEC" w:rsidP="00E15874">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5</w:t>
            </w:r>
            <w:r w:rsidR="00891125" w:rsidRPr="00891125">
              <w:t>7</w:t>
            </w:r>
            <w:r w:rsidR="00690897" w:rsidRPr="00891125">
              <w:t>,</w:t>
            </w:r>
            <w:r w:rsidR="00891125" w:rsidRPr="00891125">
              <w:t>07</w:t>
            </w:r>
            <w:r w:rsidR="00E15874">
              <w:t>0</w:t>
            </w:r>
          </w:p>
        </w:tc>
        <w:tc>
          <w:tcPr>
            <w:tcW w:w="585" w:type="pct"/>
            <w:tcBorders>
              <w:top w:val="nil"/>
              <w:left w:val="nil"/>
              <w:bottom w:val="nil"/>
              <w:right w:val="nil"/>
            </w:tcBorders>
            <w:vAlign w:val="bottom"/>
          </w:tcPr>
          <w:p w:rsidR="00690897" w:rsidRPr="00891125" w:rsidRDefault="00911EEC"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1</w:t>
            </w:r>
            <w:r w:rsidR="00891125" w:rsidRPr="00891125">
              <w:t>8</w:t>
            </w:r>
          </w:p>
        </w:tc>
        <w:tc>
          <w:tcPr>
            <w:tcW w:w="571" w:type="pct"/>
            <w:tcBorders>
              <w:top w:val="nil"/>
              <w:left w:val="nil"/>
              <w:bottom w:val="nil"/>
              <w:right w:val="nil"/>
            </w:tcBorders>
            <w:vAlign w:val="bottom"/>
          </w:tcPr>
          <w:p w:rsidR="00690897" w:rsidRPr="00891125" w:rsidRDefault="00690897" w:rsidP="0048137E">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 xml:space="preserve">$    </w:t>
            </w:r>
            <w:r w:rsidR="0048137E">
              <w:t xml:space="preserve"> </w:t>
            </w:r>
            <w:r w:rsidRPr="00891125">
              <w:t xml:space="preserve">   </w:t>
            </w:r>
            <w:r w:rsidR="00911EEC" w:rsidRPr="00891125">
              <w:t>29</w:t>
            </w:r>
            <w:r w:rsidR="00891125" w:rsidRPr="00891125">
              <w:t>2</w:t>
            </w:r>
            <w:r w:rsidR="0048137E">
              <w:t>.2</w:t>
            </w:r>
          </w:p>
        </w:tc>
        <w:tc>
          <w:tcPr>
            <w:tcW w:w="603" w:type="pct"/>
            <w:tcBorders>
              <w:top w:val="nil"/>
              <w:left w:val="nil"/>
              <w:bottom w:val="nil"/>
              <w:right w:val="nil"/>
            </w:tcBorders>
            <w:vAlign w:val="bottom"/>
          </w:tcPr>
          <w:p w:rsidR="00690897" w:rsidRPr="00891125" w:rsidRDefault="00690897"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2</w:t>
            </w:r>
            <w:r w:rsidR="00891125" w:rsidRPr="00891125">
              <w:t>1</w:t>
            </w:r>
          </w:p>
        </w:tc>
        <w:tc>
          <w:tcPr>
            <w:tcW w:w="543" w:type="pct"/>
            <w:tcBorders>
              <w:top w:val="nil"/>
              <w:left w:val="nil"/>
              <w:bottom w:val="nil"/>
              <w:right w:val="nil"/>
            </w:tcBorders>
            <w:vAlign w:val="bottom"/>
          </w:tcPr>
          <w:p w:rsidR="00690897" w:rsidRPr="0003457E" w:rsidRDefault="00690897" w:rsidP="0003457E">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3457E">
              <w:t>1</w:t>
            </w:r>
            <w:r w:rsidR="0003457E" w:rsidRPr="0003457E">
              <w:t>3</w:t>
            </w:r>
            <w:r w:rsidRPr="0003457E">
              <w:t>.</w:t>
            </w:r>
            <w:r w:rsidR="0003457E" w:rsidRPr="0003457E">
              <w:t>0</w:t>
            </w:r>
          </w:p>
        </w:tc>
        <w:tc>
          <w:tcPr>
            <w:tcW w:w="517" w:type="pct"/>
            <w:tcBorders>
              <w:top w:val="nil"/>
              <w:left w:val="nil"/>
              <w:bottom w:val="nil"/>
              <w:right w:val="nil"/>
            </w:tcBorders>
            <w:vAlign w:val="bottom"/>
          </w:tcPr>
          <w:p w:rsidR="00690897" w:rsidRPr="0003457E" w:rsidRDefault="00690897" w:rsidP="00911EEC">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3457E">
              <w:t>2</w:t>
            </w:r>
            <w:r w:rsidR="00911EEC" w:rsidRPr="0003457E">
              <w:t>2</w:t>
            </w:r>
          </w:p>
        </w:tc>
      </w:tr>
      <w:tr w:rsidR="00690897" w:rsidRPr="0053635E" w:rsidTr="00183789">
        <w:trPr>
          <w:cantSplit/>
          <w:jc w:val="center"/>
        </w:trPr>
        <w:tc>
          <w:tcPr>
            <w:tcW w:w="1551" w:type="pct"/>
            <w:tcBorders>
              <w:top w:val="nil"/>
              <w:left w:val="nil"/>
              <w:bottom w:val="nil"/>
              <w:right w:val="nil"/>
            </w:tcBorders>
          </w:tcPr>
          <w:p w:rsidR="00690897" w:rsidRPr="00683911" w:rsidRDefault="00690897" w:rsidP="00690897">
            <w:pPr>
              <w:tabs>
                <w:tab w:val="right" w:leader="dot" w:pos="1740"/>
              </w:tabs>
              <w:suppressAutoHyphens/>
              <w:ind w:left="200" w:hanging="200"/>
            </w:pPr>
            <w:r w:rsidRPr="00683911">
              <w:t>Direct finance lease</w:t>
            </w:r>
          </w:p>
        </w:tc>
        <w:tc>
          <w:tcPr>
            <w:tcW w:w="630" w:type="pct"/>
            <w:tcBorders>
              <w:top w:val="nil"/>
              <w:left w:val="nil"/>
              <w:bottom w:val="nil"/>
              <w:right w:val="nil"/>
            </w:tcBorders>
            <w:vAlign w:val="bottom"/>
          </w:tcPr>
          <w:p w:rsidR="00690897" w:rsidRPr="00891125" w:rsidRDefault="005D1360"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6</w:t>
            </w:r>
            <w:r w:rsidR="00364302" w:rsidRPr="00891125">
              <w:t>,</w:t>
            </w:r>
            <w:r w:rsidR="00891125" w:rsidRPr="00891125">
              <w:t>373</w:t>
            </w:r>
          </w:p>
        </w:tc>
        <w:tc>
          <w:tcPr>
            <w:tcW w:w="585" w:type="pct"/>
            <w:tcBorders>
              <w:top w:val="nil"/>
              <w:left w:val="nil"/>
              <w:bottom w:val="nil"/>
              <w:right w:val="nil"/>
            </w:tcBorders>
            <w:vAlign w:val="bottom"/>
          </w:tcPr>
          <w:p w:rsidR="00690897" w:rsidRPr="00891125" w:rsidRDefault="00911EEC" w:rsidP="00911EEC">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2</w:t>
            </w:r>
          </w:p>
        </w:tc>
        <w:tc>
          <w:tcPr>
            <w:tcW w:w="571" w:type="pct"/>
            <w:tcBorders>
              <w:top w:val="nil"/>
              <w:left w:val="nil"/>
              <w:bottom w:val="nil"/>
              <w:right w:val="nil"/>
            </w:tcBorders>
            <w:vAlign w:val="bottom"/>
          </w:tcPr>
          <w:p w:rsidR="00690897" w:rsidRPr="00891125" w:rsidRDefault="00690897" w:rsidP="0048137E">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2</w:t>
            </w:r>
            <w:r w:rsidR="0048137E">
              <w:t>1.7</w:t>
            </w:r>
          </w:p>
        </w:tc>
        <w:tc>
          <w:tcPr>
            <w:tcW w:w="603" w:type="pct"/>
            <w:tcBorders>
              <w:top w:val="nil"/>
              <w:left w:val="nil"/>
              <w:bottom w:val="nil"/>
              <w:right w:val="nil"/>
            </w:tcBorders>
            <w:vAlign w:val="bottom"/>
          </w:tcPr>
          <w:p w:rsidR="00690897" w:rsidRPr="00891125" w:rsidRDefault="0003457E" w:rsidP="0003457E">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t>1</w:t>
            </w:r>
          </w:p>
        </w:tc>
        <w:tc>
          <w:tcPr>
            <w:tcW w:w="543" w:type="pct"/>
            <w:tcBorders>
              <w:top w:val="nil"/>
              <w:left w:val="nil"/>
              <w:bottom w:val="nil"/>
              <w:right w:val="nil"/>
            </w:tcBorders>
            <w:vAlign w:val="bottom"/>
          </w:tcPr>
          <w:p w:rsidR="00690897" w:rsidRPr="0003457E" w:rsidRDefault="00690897" w:rsidP="0003457E">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3457E">
              <w:t>11.</w:t>
            </w:r>
            <w:r w:rsidR="0003457E" w:rsidRPr="0003457E">
              <w:t>7</w:t>
            </w:r>
          </w:p>
        </w:tc>
        <w:tc>
          <w:tcPr>
            <w:tcW w:w="517" w:type="pct"/>
            <w:tcBorders>
              <w:top w:val="nil"/>
              <w:left w:val="nil"/>
              <w:bottom w:val="nil"/>
              <w:right w:val="nil"/>
            </w:tcBorders>
            <w:vAlign w:val="bottom"/>
          </w:tcPr>
          <w:p w:rsidR="00690897" w:rsidRPr="0003457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3457E">
              <w:t xml:space="preserve">3 </w:t>
            </w:r>
          </w:p>
        </w:tc>
      </w:tr>
      <w:tr w:rsidR="00690897" w:rsidRPr="0053635E" w:rsidTr="000024C4">
        <w:trPr>
          <w:cantSplit/>
          <w:jc w:val="center"/>
        </w:trPr>
        <w:tc>
          <w:tcPr>
            <w:tcW w:w="1551" w:type="pct"/>
            <w:tcBorders>
              <w:top w:val="nil"/>
              <w:left w:val="nil"/>
              <w:bottom w:val="nil"/>
              <w:right w:val="nil"/>
            </w:tcBorders>
          </w:tcPr>
          <w:p w:rsidR="00690897" w:rsidRPr="00683911" w:rsidRDefault="00690897" w:rsidP="004B3FF7">
            <w:pPr>
              <w:tabs>
                <w:tab w:val="right" w:leader="dot" w:pos="1740"/>
              </w:tabs>
              <w:suppressAutoHyphens/>
              <w:ind w:left="200" w:hanging="200"/>
            </w:pPr>
            <w:r w:rsidRPr="00683911">
              <w:t>Marine chassis pool</w:t>
            </w:r>
          </w:p>
        </w:tc>
        <w:tc>
          <w:tcPr>
            <w:tcW w:w="630" w:type="pct"/>
            <w:tcBorders>
              <w:top w:val="nil"/>
              <w:left w:val="nil"/>
              <w:right w:val="nil"/>
            </w:tcBorders>
            <w:vAlign w:val="bottom"/>
          </w:tcPr>
          <w:p w:rsidR="00690897" w:rsidRPr="00891125" w:rsidRDefault="00364302" w:rsidP="00E15874">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13</w:t>
            </w:r>
            <w:r w:rsidR="00891125" w:rsidRPr="00891125">
              <w:t>0</w:t>
            </w:r>
            <w:r w:rsidRPr="00891125">
              <w:t>,</w:t>
            </w:r>
            <w:r w:rsidR="00891125" w:rsidRPr="00891125">
              <w:t>98</w:t>
            </w:r>
            <w:r w:rsidR="00E15874">
              <w:t>5</w:t>
            </w:r>
          </w:p>
        </w:tc>
        <w:tc>
          <w:tcPr>
            <w:tcW w:w="585" w:type="pct"/>
            <w:tcBorders>
              <w:top w:val="nil"/>
              <w:left w:val="nil"/>
              <w:right w:val="nil"/>
            </w:tcBorders>
            <w:vAlign w:val="bottom"/>
          </w:tcPr>
          <w:p w:rsidR="00690897" w:rsidRPr="00891125" w:rsidRDefault="00690897"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4</w:t>
            </w:r>
            <w:r w:rsidR="00891125" w:rsidRPr="00891125">
              <w:t>2</w:t>
            </w:r>
          </w:p>
        </w:tc>
        <w:tc>
          <w:tcPr>
            <w:tcW w:w="571" w:type="pct"/>
            <w:tcBorders>
              <w:top w:val="nil"/>
              <w:left w:val="nil"/>
              <w:right w:val="nil"/>
            </w:tcBorders>
            <w:vAlign w:val="bottom"/>
          </w:tcPr>
          <w:p w:rsidR="00690897" w:rsidRPr="00891125" w:rsidRDefault="00911EEC"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5</w:t>
            </w:r>
            <w:r w:rsidR="00891125" w:rsidRPr="00891125">
              <w:t>29</w:t>
            </w:r>
            <w:r w:rsidR="0048137E">
              <w:t>.0</w:t>
            </w:r>
          </w:p>
        </w:tc>
        <w:tc>
          <w:tcPr>
            <w:tcW w:w="603" w:type="pct"/>
            <w:tcBorders>
              <w:top w:val="nil"/>
              <w:left w:val="nil"/>
              <w:right w:val="nil"/>
            </w:tcBorders>
            <w:vAlign w:val="bottom"/>
          </w:tcPr>
          <w:p w:rsidR="00690897" w:rsidRPr="00891125" w:rsidRDefault="00690897"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3</w:t>
            </w:r>
            <w:r w:rsidR="00891125" w:rsidRPr="00891125">
              <w:t>8</w:t>
            </w:r>
          </w:p>
        </w:tc>
        <w:tc>
          <w:tcPr>
            <w:tcW w:w="543" w:type="pct"/>
            <w:tcBorders>
              <w:top w:val="nil"/>
              <w:left w:val="nil"/>
              <w:right w:val="nil"/>
            </w:tcBorders>
            <w:vAlign w:val="bottom"/>
          </w:tcPr>
          <w:p w:rsidR="00690897" w:rsidRPr="0003457E" w:rsidRDefault="00690897" w:rsidP="00911EEC">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3457E">
              <w:t>1</w:t>
            </w:r>
            <w:r w:rsidR="00911EEC" w:rsidRPr="0003457E">
              <w:t>4</w:t>
            </w:r>
            <w:r w:rsidRPr="0003457E">
              <w:t>.</w:t>
            </w:r>
            <w:r w:rsidR="00911EEC" w:rsidRPr="0003457E">
              <w:t>2</w:t>
            </w:r>
          </w:p>
        </w:tc>
        <w:tc>
          <w:tcPr>
            <w:tcW w:w="517" w:type="pct"/>
            <w:tcBorders>
              <w:top w:val="nil"/>
              <w:left w:val="nil"/>
              <w:right w:val="nil"/>
            </w:tcBorders>
            <w:vAlign w:val="bottom"/>
          </w:tcPr>
          <w:p w:rsidR="00690897" w:rsidRPr="0003457E" w:rsidRDefault="00690897" w:rsidP="0003457E">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3457E">
              <w:t>5</w:t>
            </w:r>
            <w:r w:rsidR="0003457E" w:rsidRPr="0003457E">
              <w:t>1</w:t>
            </w:r>
            <w:r w:rsidRPr="0003457E">
              <w:t xml:space="preserve"> </w:t>
            </w:r>
          </w:p>
        </w:tc>
      </w:tr>
      <w:tr w:rsidR="000024C4" w:rsidRPr="0053635E" w:rsidTr="000024C4">
        <w:trPr>
          <w:cantSplit/>
          <w:jc w:val="center"/>
        </w:trPr>
        <w:tc>
          <w:tcPr>
            <w:tcW w:w="1551" w:type="pct"/>
            <w:tcBorders>
              <w:top w:val="nil"/>
              <w:left w:val="nil"/>
              <w:bottom w:val="nil"/>
              <w:right w:val="nil"/>
            </w:tcBorders>
          </w:tcPr>
          <w:p w:rsidR="000024C4" w:rsidRPr="00683911" w:rsidRDefault="000024C4" w:rsidP="004B3FF7">
            <w:pPr>
              <w:tabs>
                <w:tab w:val="right" w:leader="dot" w:pos="1740"/>
              </w:tabs>
              <w:suppressAutoHyphens/>
              <w:spacing w:after="20"/>
              <w:ind w:left="200" w:hanging="200"/>
            </w:pPr>
            <w:r w:rsidRPr="00683911">
              <w:t>Domestic chassis pool</w:t>
            </w:r>
          </w:p>
        </w:tc>
        <w:tc>
          <w:tcPr>
            <w:tcW w:w="630" w:type="pct"/>
            <w:tcBorders>
              <w:top w:val="nil"/>
              <w:left w:val="nil"/>
              <w:bottom w:val="single" w:sz="4" w:space="0" w:color="auto"/>
              <w:right w:val="nil"/>
            </w:tcBorders>
            <w:vAlign w:val="bottom"/>
          </w:tcPr>
          <w:p w:rsidR="000024C4" w:rsidRPr="00891125" w:rsidRDefault="000024C4" w:rsidP="000024C4">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t>60</w:t>
            </w:r>
            <w:r w:rsidRPr="00891125">
              <w:t>,</w:t>
            </w:r>
            <w:r>
              <w:t>422</w:t>
            </w:r>
          </w:p>
        </w:tc>
        <w:tc>
          <w:tcPr>
            <w:tcW w:w="585" w:type="pct"/>
            <w:tcBorders>
              <w:top w:val="nil"/>
              <w:left w:val="nil"/>
              <w:bottom w:val="single" w:sz="4" w:space="0" w:color="auto"/>
              <w:right w:val="nil"/>
            </w:tcBorders>
            <w:vAlign w:val="bottom"/>
          </w:tcPr>
          <w:p w:rsidR="000024C4" w:rsidRPr="00891125" w:rsidRDefault="000024C4" w:rsidP="000024C4">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t>20</w:t>
            </w:r>
          </w:p>
        </w:tc>
        <w:tc>
          <w:tcPr>
            <w:tcW w:w="571" w:type="pct"/>
            <w:tcBorders>
              <w:top w:val="nil"/>
              <w:left w:val="nil"/>
              <w:bottom w:val="single" w:sz="4" w:space="0" w:color="auto"/>
              <w:right w:val="nil"/>
            </w:tcBorders>
            <w:vAlign w:val="bottom"/>
          </w:tcPr>
          <w:p w:rsidR="000024C4" w:rsidRPr="00891125" w:rsidRDefault="000024C4" w:rsidP="0048137E">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t>39</w:t>
            </w:r>
            <w:r w:rsidR="0048137E">
              <w:t>0.9</w:t>
            </w:r>
          </w:p>
        </w:tc>
        <w:tc>
          <w:tcPr>
            <w:tcW w:w="603" w:type="pct"/>
            <w:tcBorders>
              <w:top w:val="nil"/>
              <w:left w:val="nil"/>
              <w:bottom w:val="single" w:sz="4" w:space="0" w:color="auto"/>
              <w:right w:val="nil"/>
            </w:tcBorders>
            <w:vAlign w:val="bottom"/>
          </w:tcPr>
          <w:p w:rsidR="000024C4" w:rsidRPr="00891125" w:rsidRDefault="000024C4" w:rsidP="000024C4">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t>28</w:t>
            </w:r>
          </w:p>
        </w:tc>
        <w:tc>
          <w:tcPr>
            <w:tcW w:w="543" w:type="pct"/>
            <w:tcBorders>
              <w:top w:val="nil"/>
              <w:left w:val="nil"/>
              <w:bottom w:val="single" w:sz="4" w:space="0" w:color="auto"/>
              <w:right w:val="nil"/>
            </w:tcBorders>
            <w:vAlign w:val="bottom"/>
          </w:tcPr>
          <w:p w:rsidR="000024C4" w:rsidRPr="0003457E" w:rsidRDefault="000024C4" w:rsidP="000024C4">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t>7</w:t>
            </w:r>
            <w:r w:rsidRPr="0003457E">
              <w:t>.</w:t>
            </w:r>
            <w:r>
              <w:t>4</w:t>
            </w:r>
          </w:p>
        </w:tc>
        <w:tc>
          <w:tcPr>
            <w:tcW w:w="517" w:type="pct"/>
            <w:tcBorders>
              <w:top w:val="nil"/>
              <w:left w:val="nil"/>
              <w:right w:val="nil"/>
            </w:tcBorders>
            <w:vAlign w:val="bottom"/>
          </w:tcPr>
          <w:p w:rsidR="000024C4" w:rsidRPr="0003457E" w:rsidRDefault="000024C4" w:rsidP="0003457E">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03457E">
              <w:t xml:space="preserve">24 </w:t>
            </w:r>
          </w:p>
        </w:tc>
      </w:tr>
      <w:tr w:rsidR="00690897" w:rsidRPr="0053635E" w:rsidTr="000024C4">
        <w:trPr>
          <w:cantSplit/>
          <w:jc w:val="center"/>
        </w:trPr>
        <w:tc>
          <w:tcPr>
            <w:tcW w:w="1551" w:type="pct"/>
            <w:tcBorders>
              <w:top w:val="nil"/>
              <w:left w:val="nil"/>
              <w:bottom w:val="nil"/>
              <w:right w:val="nil"/>
            </w:tcBorders>
          </w:tcPr>
          <w:p w:rsidR="00690897" w:rsidRPr="00683911" w:rsidRDefault="00690897" w:rsidP="00690897">
            <w:pPr>
              <w:tabs>
                <w:tab w:val="right" w:leader="dot" w:pos="1740"/>
              </w:tabs>
              <w:suppressAutoHyphens/>
              <w:spacing w:after="40"/>
              <w:ind w:left="200" w:hanging="200"/>
            </w:pPr>
            <w:r w:rsidRPr="00683911">
              <w:t>On-hire fleet</w:t>
            </w:r>
          </w:p>
        </w:tc>
        <w:tc>
          <w:tcPr>
            <w:tcW w:w="630" w:type="pct"/>
            <w:tcBorders>
              <w:top w:val="single" w:sz="4" w:space="0" w:color="auto"/>
              <w:left w:val="nil"/>
              <w:bottom w:val="nil"/>
              <w:right w:val="nil"/>
            </w:tcBorders>
            <w:vAlign w:val="bottom"/>
          </w:tcPr>
          <w:p w:rsidR="00690897" w:rsidRPr="00891125" w:rsidRDefault="00690897" w:rsidP="00891125">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891125">
              <w:t>25</w:t>
            </w:r>
            <w:r w:rsidR="00891125" w:rsidRPr="00891125">
              <w:t>4</w:t>
            </w:r>
            <w:r w:rsidRPr="00891125">
              <w:t>,</w:t>
            </w:r>
            <w:r w:rsidR="00891125" w:rsidRPr="00891125">
              <w:t>850</w:t>
            </w:r>
          </w:p>
        </w:tc>
        <w:tc>
          <w:tcPr>
            <w:tcW w:w="585" w:type="pct"/>
            <w:tcBorders>
              <w:top w:val="single" w:sz="4" w:space="0" w:color="auto"/>
              <w:left w:val="nil"/>
              <w:bottom w:val="nil"/>
              <w:right w:val="nil"/>
            </w:tcBorders>
            <w:vAlign w:val="bottom"/>
          </w:tcPr>
          <w:p w:rsidR="00690897" w:rsidRPr="00891125" w:rsidRDefault="00690897" w:rsidP="00891125">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891125">
              <w:t>8</w:t>
            </w:r>
            <w:r w:rsidR="00891125" w:rsidRPr="00891125">
              <w:t>2</w:t>
            </w:r>
          </w:p>
        </w:tc>
        <w:tc>
          <w:tcPr>
            <w:tcW w:w="571" w:type="pct"/>
            <w:tcBorders>
              <w:top w:val="single" w:sz="4" w:space="0" w:color="auto"/>
              <w:left w:val="nil"/>
              <w:bottom w:val="nil"/>
              <w:right w:val="nil"/>
            </w:tcBorders>
            <w:vAlign w:val="bottom"/>
          </w:tcPr>
          <w:p w:rsidR="00690897" w:rsidRPr="00891125" w:rsidRDefault="00690897" w:rsidP="0048137E">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891125">
              <w:t>1,2</w:t>
            </w:r>
            <w:r w:rsidR="00891125" w:rsidRPr="00891125">
              <w:t>3</w:t>
            </w:r>
            <w:r w:rsidR="0048137E">
              <w:t>3.8</w:t>
            </w:r>
          </w:p>
        </w:tc>
        <w:tc>
          <w:tcPr>
            <w:tcW w:w="603" w:type="pct"/>
            <w:tcBorders>
              <w:top w:val="single" w:sz="4" w:space="0" w:color="auto"/>
              <w:left w:val="nil"/>
              <w:bottom w:val="nil"/>
              <w:right w:val="nil"/>
            </w:tcBorders>
            <w:vAlign w:val="bottom"/>
          </w:tcPr>
          <w:p w:rsidR="00690897" w:rsidRPr="00891125" w:rsidRDefault="00690897" w:rsidP="0003457E">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891125">
              <w:t>8</w:t>
            </w:r>
            <w:r w:rsidR="0003457E">
              <w:t>8</w:t>
            </w:r>
          </w:p>
        </w:tc>
        <w:tc>
          <w:tcPr>
            <w:tcW w:w="543" w:type="pct"/>
            <w:tcBorders>
              <w:top w:val="single" w:sz="4" w:space="0" w:color="auto"/>
              <w:left w:val="nil"/>
              <w:bottom w:val="nil"/>
              <w:right w:val="nil"/>
            </w:tcBorders>
            <w:vAlign w:val="bottom"/>
          </w:tcPr>
          <w:p w:rsidR="00690897" w:rsidRPr="0003457E" w:rsidRDefault="00690897" w:rsidP="0003457E">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03457E">
              <w:t>12.</w:t>
            </w:r>
            <w:r w:rsidR="0003457E" w:rsidRPr="0003457E">
              <w:t>4</w:t>
            </w:r>
          </w:p>
        </w:tc>
        <w:tc>
          <w:tcPr>
            <w:tcW w:w="517" w:type="pct"/>
            <w:tcBorders>
              <w:top w:val="nil"/>
              <w:left w:val="nil"/>
              <w:bottom w:val="nil"/>
              <w:right w:val="nil"/>
            </w:tcBorders>
            <w:vAlign w:val="bottom"/>
          </w:tcPr>
          <w:p w:rsidR="00690897" w:rsidRPr="0003457E" w:rsidRDefault="00690897" w:rsidP="00690897">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03457E">
              <w:t>100</w:t>
            </w:r>
          </w:p>
        </w:tc>
      </w:tr>
      <w:tr w:rsidR="00690897" w:rsidRPr="0053635E" w:rsidTr="00183789">
        <w:trPr>
          <w:cantSplit/>
          <w:jc w:val="center"/>
        </w:trPr>
        <w:tc>
          <w:tcPr>
            <w:tcW w:w="1551" w:type="pct"/>
            <w:tcBorders>
              <w:top w:val="nil"/>
              <w:left w:val="nil"/>
              <w:bottom w:val="nil"/>
              <w:right w:val="nil"/>
            </w:tcBorders>
          </w:tcPr>
          <w:p w:rsidR="00690897" w:rsidRPr="00683911" w:rsidRDefault="00690897" w:rsidP="00690897">
            <w:pPr>
              <w:tabs>
                <w:tab w:val="right" w:leader="dot" w:pos="1740"/>
              </w:tabs>
              <w:suppressAutoHyphens/>
              <w:ind w:left="200" w:hanging="200"/>
            </w:pPr>
            <w:r w:rsidRPr="00683911">
              <w:t>Available fleet</w:t>
            </w:r>
          </w:p>
        </w:tc>
        <w:tc>
          <w:tcPr>
            <w:tcW w:w="630" w:type="pct"/>
            <w:tcBorders>
              <w:top w:val="nil"/>
              <w:left w:val="nil"/>
              <w:bottom w:val="single" w:sz="4" w:space="0" w:color="auto"/>
              <w:right w:val="nil"/>
            </w:tcBorders>
            <w:shd w:val="clear" w:color="auto" w:fill="auto"/>
            <w:vAlign w:val="bottom"/>
          </w:tcPr>
          <w:p w:rsidR="00690897" w:rsidRPr="00891125" w:rsidRDefault="00690897"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2</w:t>
            </w:r>
            <w:r w:rsidR="00891125" w:rsidRPr="00891125">
              <w:t>0</w:t>
            </w:r>
            <w:r w:rsidRPr="00891125">
              <w:t>,</w:t>
            </w:r>
            <w:r w:rsidR="00891125" w:rsidRPr="00891125">
              <w:t>039</w:t>
            </w:r>
          </w:p>
        </w:tc>
        <w:tc>
          <w:tcPr>
            <w:tcW w:w="585" w:type="pct"/>
            <w:tcBorders>
              <w:top w:val="nil"/>
              <w:left w:val="nil"/>
              <w:bottom w:val="single" w:sz="4" w:space="0" w:color="auto"/>
              <w:right w:val="nil"/>
            </w:tcBorders>
            <w:shd w:val="clear" w:color="auto" w:fill="auto"/>
            <w:vAlign w:val="bottom"/>
          </w:tcPr>
          <w:p w:rsidR="00690897" w:rsidRPr="00891125" w:rsidRDefault="00891125"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7</w:t>
            </w:r>
          </w:p>
        </w:tc>
        <w:tc>
          <w:tcPr>
            <w:tcW w:w="571" w:type="pct"/>
            <w:tcBorders>
              <w:top w:val="nil"/>
              <w:left w:val="nil"/>
              <w:bottom w:val="single" w:sz="4" w:space="0" w:color="auto"/>
              <w:right w:val="nil"/>
            </w:tcBorders>
            <w:shd w:val="clear" w:color="auto" w:fill="auto"/>
            <w:vAlign w:val="bottom"/>
          </w:tcPr>
          <w:p w:rsidR="00690897" w:rsidRPr="00891125" w:rsidRDefault="00891125"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84</w:t>
            </w:r>
            <w:r w:rsidR="0048137E">
              <w:t>.4</w:t>
            </w:r>
          </w:p>
        </w:tc>
        <w:tc>
          <w:tcPr>
            <w:tcW w:w="603" w:type="pct"/>
            <w:tcBorders>
              <w:top w:val="nil"/>
              <w:left w:val="nil"/>
              <w:bottom w:val="single" w:sz="4" w:space="0" w:color="auto"/>
              <w:right w:val="nil"/>
            </w:tcBorders>
            <w:shd w:val="clear" w:color="auto" w:fill="auto"/>
            <w:vAlign w:val="bottom"/>
          </w:tcPr>
          <w:p w:rsidR="00690897" w:rsidRPr="00891125" w:rsidRDefault="0003457E" w:rsidP="0003457E">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t>6</w:t>
            </w:r>
          </w:p>
        </w:tc>
        <w:tc>
          <w:tcPr>
            <w:tcW w:w="543" w:type="pct"/>
            <w:tcBorders>
              <w:top w:val="nil"/>
              <w:left w:val="nil"/>
              <w:bottom w:val="single" w:sz="4" w:space="0" w:color="auto"/>
              <w:right w:val="nil"/>
            </w:tcBorders>
            <w:shd w:val="clear" w:color="auto" w:fill="auto"/>
            <w:vAlign w:val="bottom"/>
          </w:tcPr>
          <w:p w:rsidR="00690897" w:rsidRPr="0003457E" w:rsidRDefault="00690897" w:rsidP="0003457E">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03457E">
              <w:t>15.</w:t>
            </w:r>
            <w:r w:rsidR="0003457E" w:rsidRPr="0003457E">
              <w:t>8</w:t>
            </w:r>
          </w:p>
        </w:tc>
        <w:tc>
          <w:tcPr>
            <w:tcW w:w="517" w:type="pct"/>
            <w:tcBorders>
              <w:top w:val="nil"/>
              <w:left w:val="nil"/>
              <w:bottom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r>
      <w:tr w:rsidR="00690897" w:rsidRPr="0053635E" w:rsidTr="00183789">
        <w:trPr>
          <w:cantSplit/>
          <w:jc w:val="center"/>
        </w:trPr>
        <w:tc>
          <w:tcPr>
            <w:tcW w:w="1551" w:type="pct"/>
            <w:tcBorders>
              <w:top w:val="nil"/>
              <w:left w:val="nil"/>
              <w:bottom w:val="nil"/>
              <w:right w:val="nil"/>
            </w:tcBorders>
          </w:tcPr>
          <w:p w:rsidR="00690897" w:rsidRPr="00683911" w:rsidRDefault="00690897" w:rsidP="00690897">
            <w:pPr>
              <w:tabs>
                <w:tab w:val="right" w:leader="dot" w:pos="1740"/>
              </w:tabs>
              <w:suppressAutoHyphens/>
              <w:spacing w:after="40"/>
              <w:ind w:left="200" w:hanging="200"/>
            </w:pPr>
            <w:r w:rsidRPr="00683911">
              <w:t>Active fleet</w:t>
            </w:r>
          </w:p>
        </w:tc>
        <w:tc>
          <w:tcPr>
            <w:tcW w:w="630" w:type="pct"/>
            <w:tcBorders>
              <w:top w:val="nil"/>
              <w:left w:val="nil"/>
              <w:right w:val="nil"/>
            </w:tcBorders>
            <w:vAlign w:val="bottom"/>
          </w:tcPr>
          <w:p w:rsidR="00690897" w:rsidRPr="00891125" w:rsidRDefault="00690897" w:rsidP="00891125">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891125">
              <w:t>27</w:t>
            </w:r>
            <w:r w:rsidR="00891125" w:rsidRPr="00891125">
              <w:t>4</w:t>
            </w:r>
            <w:r w:rsidRPr="00891125">
              <w:t>,</w:t>
            </w:r>
            <w:r w:rsidR="00891125" w:rsidRPr="00891125">
              <w:t>889</w:t>
            </w:r>
          </w:p>
        </w:tc>
        <w:tc>
          <w:tcPr>
            <w:tcW w:w="585" w:type="pct"/>
            <w:tcBorders>
              <w:top w:val="nil"/>
              <w:left w:val="nil"/>
              <w:right w:val="nil"/>
            </w:tcBorders>
            <w:vAlign w:val="bottom"/>
          </w:tcPr>
          <w:p w:rsidR="00690897" w:rsidRPr="00891125" w:rsidRDefault="00891125" w:rsidP="00891125">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891125">
              <w:t>89</w:t>
            </w:r>
          </w:p>
        </w:tc>
        <w:tc>
          <w:tcPr>
            <w:tcW w:w="571" w:type="pct"/>
            <w:tcBorders>
              <w:top w:val="nil"/>
              <w:left w:val="nil"/>
              <w:right w:val="nil"/>
            </w:tcBorders>
            <w:vAlign w:val="bottom"/>
          </w:tcPr>
          <w:p w:rsidR="00690897" w:rsidRPr="00891125" w:rsidRDefault="00690897" w:rsidP="00891125">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891125">
              <w:t>1,3</w:t>
            </w:r>
            <w:r w:rsidR="00891125" w:rsidRPr="00891125">
              <w:t>18</w:t>
            </w:r>
            <w:r w:rsidR="0048137E">
              <w:t>.2</w:t>
            </w:r>
          </w:p>
        </w:tc>
        <w:tc>
          <w:tcPr>
            <w:tcW w:w="603" w:type="pct"/>
            <w:tcBorders>
              <w:top w:val="nil"/>
              <w:left w:val="nil"/>
              <w:right w:val="nil"/>
            </w:tcBorders>
            <w:vAlign w:val="bottom"/>
          </w:tcPr>
          <w:p w:rsidR="00690897" w:rsidRPr="00891125" w:rsidRDefault="00690897" w:rsidP="00891125">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891125">
              <w:t>9</w:t>
            </w:r>
            <w:r w:rsidR="00891125" w:rsidRPr="00891125">
              <w:t>4</w:t>
            </w:r>
          </w:p>
        </w:tc>
        <w:tc>
          <w:tcPr>
            <w:tcW w:w="543" w:type="pct"/>
            <w:tcBorders>
              <w:top w:val="nil"/>
              <w:left w:val="nil"/>
              <w:bottom w:val="nil"/>
              <w:right w:val="nil"/>
            </w:tcBorders>
            <w:vAlign w:val="bottom"/>
          </w:tcPr>
          <w:p w:rsidR="00690897" w:rsidRPr="0003457E" w:rsidRDefault="00690897" w:rsidP="0003457E">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03457E">
              <w:t>12.</w:t>
            </w:r>
            <w:r w:rsidR="0003457E" w:rsidRPr="0003457E">
              <w:t>7</w:t>
            </w:r>
          </w:p>
        </w:tc>
        <w:tc>
          <w:tcPr>
            <w:tcW w:w="517" w:type="pct"/>
            <w:tcBorders>
              <w:top w:val="nil"/>
              <w:left w:val="nil"/>
              <w:bottom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highlight w:val="yellow"/>
              </w:rPr>
            </w:pPr>
          </w:p>
        </w:tc>
      </w:tr>
      <w:tr w:rsidR="00690897" w:rsidRPr="0053635E" w:rsidTr="00183789">
        <w:trPr>
          <w:cantSplit/>
          <w:jc w:val="center"/>
        </w:trPr>
        <w:tc>
          <w:tcPr>
            <w:tcW w:w="1551" w:type="pct"/>
            <w:tcBorders>
              <w:top w:val="nil"/>
              <w:left w:val="nil"/>
              <w:bottom w:val="nil"/>
              <w:right w:val="nil"/>
            </w:tcBorders>
          </w:tcPr>
          <w:p w:rsidR="00690897" w:rsidRPr="00683911" w:rsidRDefault="00690897" w:rsidP="00690897">
            <w:pPr>
              <w:tabs>
                <w:tab w:val="right" w:leader="dot" w:pos="1740"/>
              </w:tabs>
              <w:suppressAutoHyphens/>
              <w:ind w:left="200" w:hanging="200"/>
            </w:pPr>
            <w:r w:rsidRPr="00683911">
              <w:t>Units available for remanufacture</w:t>
            </w:r>
          </w:p>
        </w:tc>
        <w:tc>
          <w:tcPr>
            <w:tcW w:w="630" w:type="pct"/>
            <w:tcBorders>
              <w:top w:val="nil"/>
              <w:left w:val="nil"/>
              <w:bottom w:val="single" w:sz="4" w:space="0" w:color="auto"/>
              <w:right w:val="nil"/>
            </w:tcBorders>
            <w:shd w:val="clear" w:color="auto" w:fill="auto"/>
            <w:vAlign w:val="bottom"/>
          </w:tcPr>
          <w:p w:rsidR="00690897" w:rsidRPr="00891125" w:rsidRDefault="00911EEC"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3</w:t>
            </w:r>
            <w:r w:rsidR="00891125" w:rsidRPr="00891125">
              <w:t>4</w:t>
            </w:r>
            <w:r w:rsidR="00690897" w:rsidRPr="00891125">
              <w:t>,</w:t>
            </w:r>
            <w:r w:rsidR="00891125" w:rsidRPr="00891125">
              <w:t>541</w:t>
            </w:r>
          </w:p>
        </w:tc>
        <w:tc>
          <w:tcPr>
            <w:tcW w:w="585" w:type="pct"/>
            <w:tcBorders>
              <w:top w:val="nil"/>
              <w:left w:val="nil"/>
              <w:bottom w:val="single" w:sz="4" w:space="0" w:color="auto"/>
              <w:right w:val="nil"/>
            </w:tcBorders>
            <w:shd w:val="clear" w:color="auto" w:fill="auto"/>
            <w:vAlign w:val="bottom"/>
          </w:tcPr>
          <w:p w:rsidR="00690897" w:rsidRPr="00891125" w:rsidRDefault="00911EEC"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1</w:t>
            </w:r>
            <w:r w:rsidR="00891125" w:rsidRPr="00891125">
              <w:t>1</w:t>
            </w:r>
          </w:p>
        </w:tc>
        <w:tc>
          <w:tcPr>
            <w:tcW w:w="571" w:type="pct"/>
            <w:tcBorders>
              <w:top w:val="nil"/>
              <w:left w:val="nil"/>
              <w:bottom w:val="single" w:sz="4" w:space="0" w:color="auto"/>
              <w:right w:val="nil"/>
            </w:tcBorders>
            <w:shd w:val="clear" w:color="auto" w:fill="auto"/>
            <w:vAlign w:val="bottom"/>
          </w:tcPr>
          <w:p w:rsidR="00690897" w:rsidRPr="00891125" w:rsidRDefault="00891125" w:rsidP="0048137E">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9</w:t>
            </w:r>
            <w:r w:rsidR="0048137E">
              <w:t>0.5</w:t>
            </w:r>
          </w:p>
        </w:tc>
        <w:tc>
          <w:tcPr>
            <w:tcW w:w="603" w:type="pct"/>
            <w:tcBorders>
              <w:top w:val="nil"/>
              <w:left w:val="nil"/>
              <w:bottom w:val="single" w:sz="4" w:space="0" w:color="auto"/>
              <w:right w:val="nil"/>
            </w:tcBorders>
            <w:shd w:val="clear" w:color="auto" w:fill="auto"/>
            <w:vAlign w:val="bottom"/>
          </w:tcPr>
          <w:p w:rsidR="00690897" w:rsidRPr="00891125" w:rsidRDefault="00911EEC" w:rsidP="00911EEC">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6</w:t>
            </w:r>
          </w:p>
        </w:tc>
        <w:tc>
          <w:tcPr>
            <w:tcW w:w="543" w:type="pct"/>
            <w:tcBorders>
              <w:top w:val="nil"/>
              <w:left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17" w:type="pct"/>
            <w:tcBorders>
              <w:top w:val="nil"/>
              <w:left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r>
      <w:tr w:rsidR="00690897" w:rsidRPr="0053635E" w:rsidTr="00183789">
        <w:trPr>
          <w:cantSplit/>
          <w:jc w:val="center"/>
        </w:trPr>
        <w:tc>
          <w:tcPr>
            <w:tcW w:w="1551" w:type="pct"/>
            <w:tcBorders>
              <w:top w:val="nil"/>
              <w:left w:val="nil"/>
              <w:bottom w:val="nil"/>
              <w:right w:val="nil"/>
            </w:tcBorders>
          </w:tcPr>
          <w:p w:rsidR="00690897" w:rsidRPr="00683911" w:rsidRDefault="00690897" w:rsidP="00690897">
            <w:pPr>
              <w:tabs>
                <w:tab w:val="right" w:leader="dot" w:pos="1740"/>
              </w:tabs>
              <w:suppressAutoHyphens/>
              <w:spacing w:after="20"/>
              <w:ind w:left="200" w:hanging="200"/>
            </w:pPr>
            <w:r w:rsidRPr="00683911">
              <w:t>Total fleet</w:t>
            </w:r>
          </w:p>
        </w:tc>
        <w:tc>
          <w:tcPr>
            <w:tcW w:w="630" w:type="pct"/>
            <w:tcBorders>
              <w:top w:val="single" w:sz="4" w:space="0" w:color="auto"/>
              <w:left w:val="nil"/>
              <w:bottom w:val="double" w:sz="4" w:space="0" w:color="auto"/>
              <w:right w:val="nil"/>
            </w:tcBorders>
            <w:vAlign w:val="bottom"/>
          </w:tcPr>
          <w:p w:rsidR="00690897" w:rsidRPr="00891125" w:rsidRDefault="00690897" w:rsidP="0089112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30</w:t>
            </w:r>
            <w:r w:rsidR="00911EEC" w:rsidRPr="00891125">
              <w:t>9</w:t>
            </w:r>
            <w:r w:rsidRPr="00891125">
              <w:t>,</w:t>
            </w:r>
            <w:r w:rsidR="00891125" w:rsidRPr="00891125">
              <w:t>430</w:t>
            </w:r>
          </w:p>
        </w:tc>
        <w:tc>
          <w:tcPr>
            <w:tcW w:w="585" w:type="pct"/>
            <w:tcBorders>
              <w:top w:val="single" w:sz="4" w:space="0" w:color="auto"/>
              <w:left w:val="nil"/>
              <w:bottom w:val="double" w:sz="4" w:space="0" w:color="auto"/>
              <w:right w:val="nil"/>
            </w:tcBorders>
            <w:vAlign w:val="bottom"/>
          </w:tcPr>
          <w:p w:rsidR="00690897" w:rsidRPr="00891125"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100</w:t>
            </w:r>
          </w:p>
        </w:tc>
        <w:tc>
          <w:tcPr>
            <w:tcW w:w="571" w:type="pct"/>
            <w:tcBorders>
              <w:top w:val="single" w:sz="4" w:space="0" w:color="auto"/>
              <w:left w:val="nil"/>
              <w:bottom w:val="double" w:sz="4" w:space="0" w:color="auto"/>
              <w:right w:val="nil"/>
            </w:tcBorders>
            <w:vAlign w:val="bottom"/>
          </w:tcPr>
          <w:p w:rsidR="00690897" w:rsidRPr="00891125" w:rsidRDefault="00690897" w:rsidP="0048137E">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w:t>
            </w:r>
            <w:r w:rsidR="0048137E">
              <w:t xml:space="preserve"> </w:t>
            </w:r>
            <w:r w:rsidRPr="00891125">
              <w:t xml:space="preserve">    1,4</w:t>
            </w:r>
            <w:r w:rsidR="00891125" w:rsidRPr="00891125">
              <w:t>0</w:t>
            </w:r>
            <w:r w:rsidR="0048137E">
              <w:t>8.7</w:t>
            </w:r>
          </w:p>
        </w:tc>
        <w:tc>
          <w:tcPr>
            <w:tcW w:w="603" w:type="pct"/>
            <w:tcBorders>
              <w:top w:val="single" w:sz="4" w:space="0" w:color="auto"/>
              <w:left w:val="nil"/>
              <w:bottom w:val="double" w:sz="4" w:space="0" w:color="auto"/>
              <w:right w:val="nil"/>
            </w:tcBorders>
            <w:vAlign w:val="bottom"/>
          </w:tcPr>
          <w:p w:rsidR="00690897" w:rsidRPr="00891125"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91125">
              <w:t>100</w:t>
            </w:r>
          </w:p>
        </w:tc>
        <w:tc>
          <w:tcPr>
            <w:tcW w:w="543" w:type="pct"/>
            <w:tcBorders>
              <w:top w:val="nil"/>
              <w:left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17" w:type="pct"/>
            <w:tcBorders>
              <w:top w:val="nil"/>
              <w:left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r>
      <w:tr w:rsidR="00690897" w:rsidRPr="0053635E" w:rsidTr="00183789">
        <w:trPr>
          <w:cantSplit/>
          <w:jc w:val="center"/>
        </w:trPr>
        <w:tc>
          <w:tcPr>
            <w:tcW w:w="1551" w:type="pct"/>
            <w:tcBorders>
              <w:top w:val="nil"/>
              <w:left w:val="nil"/>
              <w:bottom w:val="nil"/>
              <w:right w:val="nil"/>
            </w:tcBorders>
          </w:tcPr>
          <w:p w:rsidR="00690897" w:rsidRPr="0053635E" w:rsidRDefault="00690897" w:rsidP="00690897">
            <w:pPr>
              <w:tabs>
                <w:tab w:val="right" w:leader="dot" w:pos="1740"/>
              </w:tabs>
              <w:suppressAutoHyphens/>
              <w:spacing w:after="20"/>
              <w:ind w:left="200" w:hanging="200"/>
              <w:rPr>
                <w:highlight w:val="yellow"/>
              </w:rPr>
            </w:pPr>
          </w:p>
        </w:tc>
        <w:tc>
          <w:tcPr>
            <w:tcW w:w="630" w:type="pct"/>
            <w:tcBorders>
              <w:top w:val="double" w:sz="4" w:space="0" w:color="auto"/>
              <w:left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85" w:type="pct"/>
            <w:tcBorders>
              <w:top w:val="double" w:sz="4" w:space="0" w:color="auto"/>
              <w:left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71" w:type="pct"/>
            <w:tcBorders>
              <w:top w:val="double" w:sz="4" w:space="0" w:color="auto"/>
              <w:left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603" w:type="pct"/>
            <w:tcBorders>
              <w:top w:val="double" w:sz="4" w:space="0" w:color="auto"/>
              <w:left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i/>
                <w:highlight w:val="yellow"/>
              </w:rPr>
            </w:pPr>
          </w:p>
        </w:tc>
        <w:tc>
          <w:tcPr>
            <w:tcW w:w="543" w:type="pct"/>
            <w:tcBorders>
              <w:top w:val="nil"/>
              <w:left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17" w:type="pct"/>
            <w:tcBorders>
              <w:top w:val="nil"/>
              <w:left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r>
    </w:tbl>
    <w:p w:rsidR="00690897" w:rsidRPr="0053635E" w:rsidRDefault="00690897" w:rsidP="00690897">
      <w:pPr>
        <w:tabs>
          <w:tab w:val="left" w:pos="-720"/>
        </w:tabs>
        <w:suppressAutoHyphens/>
        <w:spacing w:after="240"/>
        <w:rPr>
          <w:b/>
          <w:highlight w:val="yellow"/>
        </w:rPr>
      </w:pPr>
    </w:p>
    <w:p w:rsidR="00690897" w:rsidRPr="001D3EE3" w:rsidRDefault="00690897" w:rsidP="00690897">
      <w:pPr>
        <w:tabs>
          <w:tab w:val="left" w:pos="-720"/>
        </w:tabs>
        <w:suppressAutoHyphens/>
        <w:spacing w:after="240"/>
        <w:rPr>
          <w:b/>
          <w:sz w:val="22"/>
        </w:rPr>
      </w:pPr>
      <w:r w:rsidRPr="001D3EE3">
        <w:rPr>
          <w:b/>
          <w:sz w:val="22"/>
        </w:rPr>
        <w:t>Term lease products</w:t>
      </w:r>
    </w:p>
    <w:p w:rsidR="00F361A8" w:rsidRPr="001D3EE3" w:rsidRDefault="00690897" w:rsidP="00F361A8">
      <w:pPr>
        <w:widowControl/>
        <w:tabs>
          <w:tab w:val="left" w:pos="-720"/>
        </w:tabs>
        <w:suppressAutoHyphens/>
        <w:spacing w:after="240"/>
        <w:ind w:firstLine="720"/>
        <w:jc w:val="both"/>
        <w:rPr>
          <w:sz w:val="22"/>
        </w:rPr>
      </w:pPr>
      <w:r w:rsidRPr="001D3EE3">
        <w:rPr>
          <w:sz w:val="22"/>
        </w:rPr>
        <w:t>Under a term lease, the lessee commits to a fixed lease term, typically between 1 and 5 years</w:t>
      </w:r>
      <w:r w:rsidRPr="001D3EE3">
        <w:rPr>
          <w:b/>
          <w:sz w:val="22"/>
        </w:rPr>
        <w:t>.</w:t>
      </w:r>
      <w:r w:rsidRPr="001D3EE3">
        <w:rPr>
          <w:sz w:val="22"/>
        </w:rPr>
        <w:t xml:space="preserve"> We retain the benefit and residual value of</w:t>
      </w:r>
      <w:r w:rsidR="00CA7B27" w:rsidRPr="001D3EE3">
        <w:rPr>
          <w:sz w:val="22"/>
        </w:rPr>
        <w:t xml:space="preserve"> equipment ownership</w:t>
      </w:r>
      <w:r w:rsidRPr="001D3EE3">
        <w:rPr>
          <w:sz w:val="22"/>
        </w:rPr>
        <w:t>, and bear the risk of re-leasing the asset upon expiration of the lease.</w:t>
      </w:r>
      <w:r w:rsidR="00C55B68" w:rsidRPr="001D3EE3">
        <w:rPr>
          <w:sz w:val="22"/>
        </w:rPr>
        <w:t xml:space="preserve">  </w:t>
      </w:r>
      <w:r w:rsidR="00C17BA4">
        <w:rPr>
          <w:sz w:val="22"/>
        </w:rPr>
        <w:t>F</w:t>
      </w:r>
      <w:r w:rsidR="00C55B68" w:rsidRPr="001D3EE3">
        <w:rPr>
          <w:sz w:val="22"/>
        </w:rPr>
        <w:t xml:space="preserve">or the </w:t>
      </w:r>
      <w:r w:rsidR="001D3EE3">
        <w:rPr>
          <w:sz w:val="22"/>
        </w:rPr>
        <w:t>three</w:t>
      </w:r>
      <w:r w:rsidR="00C55B68" w:rsidRPr="001D3EE3">
        <w:rPr>
          <w:sz w:val="22"/>
        </w:rPr>
        <w:t xml:space="preserve"> months ended </w:t>
      </w:r>
      <w:r w:rsidR="001D3EE3">
        <w:rPr>
          <w:sz w:val="22"/>
        </w:rPr>
        <w:t>March 31, 2014</w:t>
      </w:r>
      <w:r w:rsidR="00C55B68" w:rsidRPr="001D3EE3">
        <w:rPr>
          <w:sz w:val="22"/>
        </w:rPr>
        <w:t>, our term lease renewal rate was approximately</w:t>
      </w:r>
      <w:r w:rsidR="00E858C7" w:rsidRPr="001D3EE3">
        <w:rPr>
          <w:sz w:val="22"/>
        </w:rPr>
        <w:t xml:space="preserve"> </w:t>
      </w:r>
      <w:r w:rsidR="0083017E">
        <w:rPr>
          <w:sz w:val="22"/>
        </w:rPr>
        <w:t>98</w:t>
      </w:r>
      <w:r w:rsidR="00E858C7" w:rsidRPr="00C17BA4">
        <w:rPr>
          <w:sz w:val="22"/>
        </w:rPr>
        <w:t>%</w:t>
      </w:r>
      <w:r w:rsidR="0083017E">
        <w:rPr>
          <w:sz w:val="22"/>
        </w:rPr>
        <w:t xml:space="preserve"> with very little movement of assets from term</w:t>
      </w:r>
      <w:r w:rsidR="00BD377B">
        <w:rPr>
          <w:sz w:val="22"/>
        </w:rPr>
        <w:t xml:space="preserve"> arrangements</w:t>
      </w:r>
      <w:r w:rsidR="0083017E">
        <w:rPr>
          <w:sz w:val="22"/>
        </w:rPr>
        <w:t xml:space="preserve"> to pool arrangements</w:t>
      </w:r>
      <w:r w:rsidR="00BD377B">
        <w:rPr>
          <w:sz w:val="22"/>
        </w:rPr>
        <w:t xml:space="preserve"> during the quarter.</w:t>
      </w:r>
    </w:p>
    <w:p w:rsidR="00690897" w:rsidRPr="001D3EE3" w:rsidRDefault="00690897" w:rsidP="00F361A8">
      <w:pPr>
        <w:widowControl/>
        <w:tabs>
          <w:tab w:val="left" w:pos="-720"/>
        </w:tabs>
        <w:suppressAutoHyphens/>
        <w:spacing w:after="240"/>
        <w:jc w:val="both"/>
        <w:rPr>
          <w:b/>
          <w:bCs/>
          <w:iCs/>
          <w:sz w:val="22"/>
        </w:rPr>
      </w:pPr>
      <w:r w:rsidRPr="001D3EE3">
        <w:rPr>
          <w:b/>
          <w:bCs/>
          <w:iCs/>
          <w:sz w:val="22"/>
        </w:rPr>
        <w:t>Direct finance lease products</w:t>
      </w:r>
    </w:p>
    <w:p w:rsidR="001D3EE3" w:rsidRPr="001D3EE3" w:rsidRDefault="00690897" w:rsidP="00F6522D">
      <w:pPr>
        <w:widowControl/>
        <w:tabs>
          <w:tab w:val="left" w:pos="-720"/>
        </w:tabs>
        <w:suppressAutoHyphens/>
        <w:spacing w:after="240"/>
        <w:ind w:firstLine="720"/>
        <w:jc w:val="both"/>
        <w:rPr>
          <w:sz w:val="22"/>
        </w:rPr>
      </w:pPr>
      <w:r w:rsidRPr="001D3EE3">
        <w:rPr>
          <w:sz w:val="22"/>
        </w:rPr>
        <w:t xml:space="preserve">Direct finance lease terms and conditions are similar to those of our term leases, except that, under a direct finance lease, the customer commits to a fixed lease term and typically receives a bargain purchase option at the expiration of the lease. Under this arrangement, the substantive risks and benefits of equipment ownership are passed on to the lessee. </w:t>
      </w:r>
      <w:r w:rsidR="00C55B68" w:rsidRPr="001D3EE3">
        <w:rPr>
          <w:sz w:val="22"/>
        </w:rPr>
        <w:t>The lease payments are segregated into principal and interest components that are similar to a loan. The interest component, calculated using the effective interest method over the term of the lease, is recognized by us as Finance revenue. The principal component of the lease is reflected as a reduction to the net investment in the direct finance lease. The typical initial term on these leases is between 5 and 10 years, with multiple renewals to extend the lease term by another 1 to 3 years.</w:t>
      </w:r>
    </w:p>
    <w:p w:rsidR="00690897" w:rsidRPr="001D3EE3" w:rsidRDefault="004B3FF7" w:rsidP="009C03D9">
      <w:pPr>
        <w:keepNext/>
        <w:keepLines/>
        <w:tabs>
          <w:tab w:val="left" w:pos="-720"/>
          <w:tab w:val="left" w:pos="0"/>
          <w:tab w:val="left" w:pos="720"/>
          <w:tab w:val="left" w:pos="1440"/>
        </w:tabs>
        <w:suppressAutoHyphens/>
        <w:spacing w:after="240"/>
        <w:jc w:val="both"/>
        <w:rPr>
          <w:b/>
          <w:bCs/>
          <w:iCs/>
          <w:sz w:val="22"/>
        </w:rPr>
      </w:pPr>
      <w:r w:rsidRPr="001D3EE3">
        <w:rPr>
          <w:b/>
          <w:bCs/>
          <w:iCs/>
          <w:sz w:val="22"/>
        </w:rPr>
        <w:t>C</w:t>
      </w:r>
      <w:r w:rsidR="00690897" w:rsidRPr="001D3EE3">
        <w:rPr>
          <w:b/>
          <w:bCs/>
          <w:iCs/>
          <w:sz w:val="22"/>
        </w:rPr>
        <w:t>hassis pools</w:t>
      </w:r>
    </w:p>
    <w:p w:rsidR="00690897" w:rsidRPr="001D3EE3" w:rsidRDefault="00690897" w:rsidP="00831E1B">
      <w:pPr>
        <w:widowControl/>
        <w:tabs>
          <w:tab w:val="left" w:pos="-720"/>
        </w:tabs>
        <w:suppressAutoHyphens/>
        <w:spacing w:after="240"/>
        <w:ind w:firstLine="720"/>
        <w:jc w:val="both"/>
        <w:rPr>
          <w:sz w:val="22"/>
        </w:rPr>
      </w:pPr>
      <w:r w:rsidRPr="001D3EE3">
        <w:rPr>
          <w:sz w:val="22"/>
        </w:rPr>
        <w:t xml:space="preserve">We operate and maintain domestic and marine chassis pools. A chassis pool is similar to a car rental model in which we provide a shared pool of chassis at major intermodal transportation points such as port terminals and railroad ramps for use by multiple customers on an as-needed basis. Because substantially all our major customers have regular shipments requiring chassis, many commit to subscription levels for minimum chassis usage to ensure sufficient chassis supply. </w:t>
      </w:r>
      <w:r w:rsidR="00DA24B7" w:rsidRPr="001D3EE3">
        <w:rPr>
          <w:sz w:val="22"/>
        </w:rPr>
        <w:t xml:space="preserve">As of </w:t>
      </w:r>
      <w:r w:rsidR="001D3EE3" w:rsidRPr="001D3EE3">
        <w:rPr>
          <w:sz w:val="22"/>
        </w:rPr>
        <w:t>March</w:t>
      </w:r>
      <w:r w:rsidR="00DA24B7" w:rsidRPr="001D3EE3">
        <w:rPr>
          <w:sz w:val="22"/>
        </w:rPr>
        <w:t> 3</w:t>
      </w:r>
      <w:r w:rsidR="001D3EE3" w:rsidRPr="001D3EE3">
        <w:rPr>
          <w:sz w:val="22"/>
        </w:rPr>
        <w:t>1</w:t>
      </w:r>
      <w:r w:rsidR="00DA24B7" w:rsidRPr="001D3EE3">
        <w:rPr>
          <w:sz w:val="22"/>
        </w:rPr>
        <w:t xml:space="preserve">, </w:t>
      </w:r>
      <w:r w:rsidR="00DA24B7" w:rsidRPr="004352C9">
        <w:rPr>
          <w:sz w:val="22"/>
        </w:rPr>
        <w:t>201</w:t>
      </w:r>
      <w:r w:rsidR="001D3EE3" w:rsidRPr="004352C9">
        <w:rPr>
          <w:sz w:val="22"/>
        </w:rPr>
        <w:t>4</w:t>
      </w:r>
      <w:r w:rsidR="00DA24B7" w:rsidRPr="004352C9">
        <w:rPr>
          <w:sz w:val="22"/>
        </w:rPr>
        <w:t xml:space="preserve">, </w:t>
      </w:r>
      <w:r w:rsidR="00E858C7" w:rsidRPr="004352C9">
        <w:rPr>
          <w:sz w:val="22"/>
        </w:rPr>
        <w:t>2</w:t>
      </w:r>
      <w:r w:rsidR="004352C9" w:rsidRPr="004352C9">
        <w:rPr>
          <w:sz w:val="22"/>
        </w:rPr>
        <w:t>2</w:t>
      </w:r>
      <w:r w:rsidR="00E858C7" w:rsidRPr="004352C9">
        <w:rPr>
          <w:sz w:val="22"/>
        </w:rPr>
        <w:t>%</w:t>
      </w:r>
      <w:r w:rsidR="00DA24B7" w:rsidRPr="004352C9">
        <w:rPr>
          <w:sz w:val="22"/>
        </w:rPr>
        <w:t xml:space="preserve"> of chassis</w:t>
      </w:r>
      <w:r w:rsidR="00DA24B7" w:rsidRPr="001D3EE3">
        <w:rPr>
          <w:sz w:val="22"/>
        </w:rPr>
        <w:t xml:space="preserve"> pool revenue was generated by such minimum usage arrangements.</w:t>
      </w:r>
    </w:p>
    <w:p w:rsidR="00690897" w:rsidRPr="001D3EE3" w:rsidRDefault="00690897" w:rsidP="00690897">
      <w:pPr>
        <w:keepNext/>
        <w:keepLines/>
        <w:tabs>
          <w:tab w:val="left" w:pos="-720"/>
          <w:tab w:val="left" w:pos="0"/>
          <w:tab w:val="left" w:pos="720"/>
          <w:tab w:val="left" w:pos="1440"/>
        </w:tabs>
        <w:suppressAutoHyphens/>
        <w:spacing w:after="240"/>
        <w:rPr>
          <w:i/>
          <w:iCs/>
          <w:sz w:val="22"/>
        </w:rPr>
      </w:pPr>
      <w:r w:rsidRPr="001D3EE3">
        <w:rPr>
          <w:i/>
          <w:iCs/>
          <w:sz w:val="22"/>
        </w:rPr>
        <w:lastRenderedPageBreak/>
        <w:t>Marine chassis pools</w:t>
      </w:r>
    </w:p>
    <w:p w:rsidR="00690897" w:rsidRPr="001D3EE3" w:rsidRDefault="00286B48" w:rsidP="00690897">
      <w:pPr>
        <w:tabs>
          <w:tab w:val="left" w:pos="-720"/>
        </w:tabs>
        <w:suppressAutoHyphens/>
        <w:spacing w:after="240"/>
        <w:jc w:val="both"/>
        <w:rPr>
          <w:sz w:val="22"/>
        </w:rPr>
      </w:pPr>
      <w:r>
        <w:rPr>
          <w:sz w:val="22"/>
        </w:rPr>
        <w:tab/>
      </w:r>
      <w:r w:rsidR="00690897" w:rsidRPr="001D3EE3">
        <w:rPr>
          <w:sz w:val="22"/>
        </w:rPr>
        <w:t>We operate pools in many of the major port terminals and railroad ramps on the Eastern seaboard, Gulf Coast</w:t>
      </w:r>
      <w:r w:rsidR="00D870EC" w:rsidRPr="001D3EE3">
        <w:rPr>
          <w:sz w:val="22"/>
        </w:rPr>
        <w:t>, West Coast</w:t>
      </w:r>
      <w:r w:rsidR="00690897" w:rsidRPr="001D3EE3">
        <w:rPr>
          <w:sz w:val="22"/>
        </w:rPr>
        <w:t xml:space="preserve"> and Midwest, using marine 20’, 40’ and 45’ chassis. As of </w:t>
      </w:r>
      <w:r w:rsidR="001D3EE3" w:rsidRPr="001D3EE3">
        <w:rPr>
          <w:sz w:val="22"/>
        </w:rPr>
        <w:t>March</w:t>
      </w:r>
      <w:r w:rsidR="00690897" w:rsidRPr="001D3EE3">
        <w:rPr>
          <w:sz w:val="22"/>
        </w:rPr>
        <w:t xml:space="preserve"> 3</w:t>
      </w:r>
      <w:r w:rsidR="001D3EE3" w:rsidRPr="001D3EE3">
        <w:rPr>
          <w:sz w:val="22"/>
        </w:rPr>
        <w:t>1</w:t>
      </w:r>
      <w:r w:rsidR="00690897" w:rsidRPr="001D3EE3">
        <w:rPr>
          <w:sz w:val="22"/>
        </w:rPr>
        <w:t>, 201</w:t>
      </w:r>
      <w:r w:rsidR="001D3EE3" w:rsidRPr="001D3EE3">
        <w:rPr>
          <w:sz w:val="22"/>
        </w:rPr>
        <w:t>4</w:t>
      </w:r>
      <w:r w:rsidR="00690897" w:rsidRPr="001D3EE3">
        <w:rPr>
          <w:sz w:val="22"/>
        </w:rPr>
        <w:t xml:space="preserve">, we </w:t>
      </w:r>
      <w:r w:rsidR="00690897" w:rsidRPr="009B5332">
        <w:rPr>
          <w:sz w:val="22"/>
        </w:rPr>
        <w:t>owned 1</w:t>
      </w:r>
      <w:r w:rsidR="0085253E" w:rsidRPr="009B5332">
        <w:rPr>
          <w:sz w:val="22"/>
        </w:rPr>
        <w:t>16</w:t>
      </w:r>
      <w:r w:rsidR="00690897" w:rsidRPr="009B5332">
        <w:rPr>
          <w:sz w:val="22"/>
        </w:rPr>
        <w:t>,</w:t>
      </w:r>
      <w:r w:rsidR="009B5332" w:rsidRPr="009B5332">
        <w:rPr>
          <w:sz w:val="22"/>
        </w:rPr>
        <w:t>408</w:t>
      </w:r>
      <w:r w:rsidR="00690897" w:rsidRPr="009B5332">
        <w:rPr>
          <w:sz w:val="22"/>
        </w:rPr>
        <w:t xml:space="preserve"> units</w:t>
      </w:r>
      <w:r w:rsidR="00690897" w:rsidRPr="001D3EE3">
        <w:rPr>
          <w:sz w:val="22"/>
        </w:rPr>
        <w:t xml:space="preserve"> </w:t>
      </w:r>
      <w:r w:rsidR="00690897" w:rsidRPr="009B5332">
        <w:rPr>
          <w:sz w:val="22"/>
        </w:rPr>
        <w:t xml:space="preserve">and managed </w:t>
      </w:r>
      <w:r w:rsidR="0085253E" w:rsidRPr="009B5332">
        <w:rPr>
          <w:sz w:val="22"/>
        </w:rPr>
        <w:t>1</w:t>
      </w:r>
      <w:r w:rsidR="009B5332" w:rsidRPr="009B5332">
        <w:rPr>
          <w:sz w:val="22"/>
        </w:rPr>
        <w:t>4</w:t>
      </w:r>
      <w:r w:rsidR="00690897" w:rsidRPr="009B5332">
        <w:rPr>
          <w:sz w:val="22"/>
        </w:rPr>
        <w:t>,</w:t>
      </w:r>
      <w:r w:rsidR="009B5332" w:rsidRPr="009B5332">
        <w:rPr>
          <w:sz w:val="22"/>
        </w:rPr>
        <w:t>57</w:t>
      </w:r>
      <w:r w:rsidR="00E15874">
        <w:rPr>
          <w:sz w:val="22"/>
        </w:rPr>
        <w:t>7</w:t>
      </w:r>
      <w:r w:rsidR="00690897" w:rsidRPr="009B5332">
        <w:rPr>
          <w:sz w:val="22"/>
        </w:rPr>
        <w:t xml:space="preserve"> units owned</w:t>
      </w:r>
      <w:r w:rsidR="00690897" w:rsidRPr="001D3EE3">
        <w:rPr>
          <w:sz w:val="22"/>
        </w:rPr>
        <w:t xml:space="preserve"> and contributed by s</w:t>
      </w:r>
      <w:r w:rsidR="000C322C">
        <w:rPr>
          <w:sz w:val="22"/>
        </w:rPr>
        <w:t>hipping</w:t>
      </w:r>
      <w:r w:rsidR="00690897" w:rsidRPr="001D3EE3">
        <w:rPr>
          <w:sz w:val="22"/>
        </w:rPr>
        <w:t xml:space="preserve"> lines for a </w:t>
      </w:r>
      <w:r w:rsidR="00690897" w:rsidRPr="009B5332">
        <w:rPr>
          <w:sz w:val="22"/>
        </w:rPr>
        <w:t>total of 1</w:t>
      </w:r>
      <w:r w:rsidR="0085253E" w:rsidRPr="009B5332">
        <w:rPr>
          <w:sz w:val="22"/>
        </w:rPr>
        <w:t>3</w:t>
      </w:r>
      <w:r w:rsidR="009B5332" w:rsidRPr="009B5332">
        <w:rPr>
          <w:sz w:val="22"/>
        </w:rPr>
        <w:t>0</w:t>
      </w:r>
      <w:r w:rsidR="00690897" w:rsidRPr="009B5332">
        <w:rPr>
          <w:sz w:val="22"/>
        </w:rPr>
        <w:t>,</w:t>
      </w:r>
      <w:r w:rsidR="009B5332" w:rsidRPr="009B5332">
        <w:rPr>
          <w:sz w:val="22"/>
        </w:rPr>
        <w:t>98</w:t>
      </w:r>
      <w:r w:rsidR="00E15874">
        <w:rPr>
          <w:sz w:val="22"/>
        </w:rPr>
        <w:t>5</w:t>
      </w:r>
      <w:r w:rsidR="00690897" w:rsidRPr="009B5332">
        <w:rPr>
          <w:sz w:val="22"/>
        </w:rPr>
        <w:t xml:space="preserve"> units. The</w:t>
      </w:r>
      <w:r w:rsidR="00690897" w:rsidRPr="001D3EE3">
        <w:rPr>
          <w:sz w:val="22"/>
        </w:rPr>
        <w:t xml:space="preserve"> net book value of our owned marine pool units </w:t>
      </w:r>
      <w:r w:rsidR="00690897" w:rsidRPr="009B5332">
        <w:rPr>
          <w:sz w:val="22"/>
        </w:rPr>
        <w:t>amounted to $</w:t>
      </w:r>
      <w:r w:rsidR="0085253E" w:rsidRPr="009B5332">
        <w:rPr>
          <w:sz w:val="22"/>
        </w:rPr>
        <w:t>5</w:t>
      </w:r>
      <w:r w:rsidR="009B5332" w:rsidRPr="009B5332">
        <w:rPr>
          <w:sz w:val="22"/>
        </w:rPr>
        <w:t>29</w:t>
      </w:r>
      <w:r w:rsidR="0085253E" w:rsidRPr="009B5332">
        <w:rPr>
          <w:sz w:val="22"/>
        </w:rPr>
        <w:t>.</w:t>
      </w:r>
      <w:r w:rsidR="009B5332" w:rsidRPr="009B5332">
        <w:rPr>
          <w:sz w:val="22"/>
        </w:rPr>
        <w:t>0</w:t>
      </w:r>
      <w:r w:rsidR="00690897" w:rsidRPr="009B5332">
        <w:rPr>
          <w:sz w:val="22"/>
        </w:rPr>
        <w:t> million as</w:t>
      </w:r>
      <w:r w:rsidR="00690897" w:rsidRPr="001D3EE3">
        <w:rPr>
          <w:sz w:val="22"/>
        </w:rPr>
        <w:t xml:space="preserve"> of </w:t>
      </w:r>
      <w:r w:rsidR="001D3EE3">
        <w:rPr>
          <w:sz w:val="22"/>
        </w:rPr>
        <w:t>March</w:t>
      </w:r>
      <w:r w:rsidR="00690897" w:rsidRPr="001D3EE3">
        <w:rPr>
          <w:sz w:val="22"/>
        </w:rPr>
        <w:t> 3</w:t>
      </w:r>
      <w:r w:rsidR="001D3EE3">
        <w:rPr>
          <w:sz w:val="22"/>
        </w:rPr>
        <w:t>1</w:t>
      </w:r>
      <w:r w:rsidR="00690897" w:rsidRPr="001D3EE3">
        <w:rPr>
          <w:sz w:val="22"/>
        </w:rPr>
        <w:t>, 201</w:t>
      </w:r>
      <w:r w:rsidR="001D3EE3">
        <w:rPr>
          <w:sz w:val="22"/>
        </w:rPr>
        <w:t>4</w:t>
      </w:r>
      <w:r w:rsidR="00690897" w:rsidRPr="001D3EE3">
        <w:rPr>
          <w:sz w:val="22"/>
        </w:rPr>
        <w:t xml:space="preserve">. Marine chassis pool customers pay per diem rates and in some cases are subject to subscription levels for minimum chassis usage that are typically </w:t>
      </w:r>
      <w:r w:rsidR="00605CE8">
        <w:rPr>
          <w:sz w:val="22"/>
        </w:rPr>
        <w:t>one</w:t>
      </w:r>
      <w:r w:rsidR="00690897" w:rsidRPr="001D3EE3">
        <w:rPr>
          <w:sz w:val="22"/>
        </w:rPr>
        <w:t xml:space="preserve"> year in length. For the </w:t>
      </w:r>
      <w:r w:rsidR="00605CE8">
        <w:rPr>
          <w:sz w:val="22"/>
        </w:rPr>
        <w:t>three</w:t>
      </w:r>
      <w:r w:rsidR="00690897" w:rsidRPr="001D3EE3">
        <w:rPr>
          <w:sz w:val="22"/>
        </w:rPr>
        <w:t xml:space="preserve"> months ended </w:t>
      </w:r>
      <w:r w:rsidR="00605CE8">
        <w:rPr>
          <w:sz w:val="22"/>
        </w:rPr>
        <w:t>March</w:t>
      </w:r>
      <w:r w:rsidR="00690897" w:rsidRPr="001D3EE3">
        <w:rPr>
          <w:sz w:val="22"/>
        </w:rPr>
        <w:t xml:space="preserve"> 3</w:t>
      </w:r>
      <w:r w:rsidR="00605CE8">
        <w:rPr>
          <w:sz w:val="22"/>
        </w:rPr>
        <w:t>1</w:t>
      </w:r>
      <w:r w:rsidR="00690897" w:rsidRPr="001D3EE3">
        <w:rPr>
          <w:sz w:val="22"/>
        </w:rPr>
        <w:t>, 201</w:t>
      </w:r>
      <w:r w:rsidR="00605CE8">
        <w:rPr>
          <w:sz w:val="22"/>
        </w:rPr>
        <w:t>4</w:t>
      </w:r>
      <w:r w:rsidR="00690897" w:rsidRPr="001D3EE3">
        <w:rPr>
          <w:sz w:val="22"/>
        </w:rPr>
        <w:t xml:space="preserve">, </w:t>
      </w:r>
      <w:r w:rsidR="00690897" w:rsidRPr="009B5332">
        <w:rPr>
          <w:sz w:val="22"/>
        </w:rPr>
        <w:t xml:space="preserve">approximately </w:t>
      </w:r>
      <w:r w:rsidR="009B5332" w:rsidRPr="009B5332">
        <w:rPr>
          <w:sz w:val="22"/>
        </w:rPr>
        <w:t>6</w:t>
      </w:r>
      <w:r w:rsidR="00690897" w:rsidRPr="009B5332">
        <w:rPr>
          <w:sz w:val="22"/>
        </w:rPr>
        <w:t>% of marine chassis</w:t>
      </w:r>
      <w:r w:rsidR="00690897" w:rsidRPr="001D3EE3">
        <w:rPr>
          <w:sz w:val="22"/>
        </w:rPr>
        <w:t xml:space="preserve"> pool revenue was generated under subscription arrangements.</w:t>
      </w:r>
    </w:p>
    <w:p w:rsidR="00690897" w:rsidRPr="00605CE8" w:rsidRDefault="00690897" w:rsidP="00690897">
      <w:pPr>
        <w:keepNext/>
        <w:keepLines/>
        <w:tabs>
          <w:tab w:val="left" w:pos="-720"/>
          <w:tab w:val="left" w:pos="0"/>
          <w:tab w:val="left" w:pos="720"/>
          <w:tab w:val="left" w:pos="1440"/>
        </w:tabs>
        <w:suppressAutoHyphens/>
        <w:spacing w:after="240"/>
        <w:rPr>
          <w:i/>
          <w:iCs/>
          <w:sz w:val="22"/>
        </w:rPr>
      </w:pPr>
      <w:r w:rsidRPr="00605CE8">
        <w:rPr>
          <w:i/>
          <w:iCs/>
          <w:sz w:val="22"/>
        </w:rPr>
        <w:t>Domestic chassis pools</w:t>
      </w:r>
    </w:p>
    <w:p w:rsidR="00690897" w:rsidRPr="00605CE8" w:rsidRDefault="00286B48" w:rsidP="00690897">
      <w:pPr>
        <w:tabs>
          <w:tab w:val="left" w:pos="-720"/>
        </w:tabs>
        <w:suppressAutoHyphens/>
        <w:spacing w:after="240"/>
        <w:jc w:val="both"/>
        <w:rPr>
          <w:sz w:val="22"/>
        </w:rPr>
      </w:pPr>
      <w:r>
        <w:rPr>
          <w:sz w:val="22"/>
        </w:rPr>
        <w:tab/>
      </w:r>
      <w:r w:rsidR="00690897" w:rsidRPr="00605CE8">
        <w:rPr>
          <w:sz w:val="22"/>
        </w:rPr>
        <w:t xml:space="preserve">We also operate pools for domestic 53’ chassis at railroad ramps throughout the United States. As of </w:t>
      </w:r>
      <w:r w:rsidR="00605CE8">
        <w:rPr>
          <w:sz w:val="22"/>
        </w:rPr>
        <w:t>March</w:t>
      </w:r>
      <w:r w:rsidR="00690897" w:rsidRPr="00605CE8">
        <w:rPr>
          <w:sz w:val="22"/>
        </w:rPr>
        <w:t xml:space="preserve"> 3</w:t>
      </w:r>
      <w:r w:rsidR="00605CE8">
        <w:rPr>
          <w:sz w:val="22"/>
        </w:rPr>
        <w:t>1</w:t>
      </w:r>
      <w:r w:rsidR="00690897" w:rsidRPr="00605CE8">
        <w:rPr>
          <w:sz w:val="22"/>
        </w:rPr>
        <w:t>, 201</w:t>
      </w:r>
      <w:r w:rsidR="00605CE8">
        <w:rPr>
          <w:sz w:val="22"/>
        </w:rPr>
        <w:t>4</w:t>
      </w:r>
      <w:r w:rsidR="00690897" w:rsidRPr="00605CE8">
        <w:rPr>
          <w:sz w:val="22"/>
        </w:rPr>
        <w:t xml:space="preserve">, </w:t>
      </w:r>
      <w:r w:rsidR="00690897" w:rsidRPr="009B5332">
        <w:rPr>
          <w:sz w:val="22"/>
        </w:rPr>
        <w:t xml:space="preserve">we had </w:t>
      </w:r>
      <w:r w:rsidR="009B5332" w:rsidRPr="009B5332">
        <w:rPr>
          <w:sz w:val="22"/>
        </w:rPr>
        <w:t>60</w:t>
      </w:r>
      <w:r w:rsidR="000361CA" w:rsidRPr="009B5332">
        <w:rPr>
          <w:sz w:val="22"/>
        </w:rPr>
        <w:t>,</w:t>
      </w:r>
      <w:r w:rsidR="009B5332" w:rsidRPr="009B5332">
        <w:rPr>
          <w:sz w:val="22"/>
        </w:rPr>
        <w:t>422</w:t>
      </w:r>
      <w:r w:rsidR="00690897" w:rsidRPr="009B5332">
        <w:rPr>
          <w:sz w:val="22"/>
        </w:rPr>
        <w:t xml:space="preserve"> units, including </w:t>
      </w:r>
      <w:r w:rsidR="009B5332" w:rsidRPr="009B5332">
        <w:rPr>
          <w:sz w:val="22"/>
        </w:rPr>
        <w:t>8</w:t>
      </w:r>
      <w:r w:rsidR="00690897" w:rsidRPr="009B5332">
        <w:rPr>
          <w:sz w:val="22"/>
        </w:rPr>
        <w:t>,</w:t>
      </w:r>
      <w:r w:rsidR="009B5332" w:rsidRPr="009B5332">
        <w:rPr>
          <w:sz w:val="22"/>
        </w:rPr>
        <w:t>349</w:t>
      </w:r>
      <w:r w:rsidR="00690897" w:rsidRPr="009B5332">
        <w:rPr>
          <w:sz w:val="22"/>
        </w:rPr>
        <w:t xml:space="preserve"> that we lease-in,</w:t>
      </w:r>
      <w:r w:rsidR="00690897" w:rsidRPr="00605CE8">
        <w:rPr>
          <w:sz w:val="22"/>
        </w:rPr>
        <w:t xml:space="preserve"> engaged in providing this service. The net book value of the domestic pool units that we own </w:t>
      </w:r>
      <w:r w:rsidR="00690897" w:rsidRPr="009B5332">
        <w:rPr>
          <w:sz w:val="22"/>
        </w:rPr>
        <w:t>totaled $</w:t>
      </w:r>
      <w:r w:rsidR="009B5332" w:rsidRPr="009B5332">
        <w:rPr>
          <w:sz w:val="22"/>
        </w:rPr>
        <w:t>390.9</w:t>
      </w:r>
      <w:r w:rsidR="00690897" w:rsidRPr="009B5332">
        <w:rPr>
          <w:sz w:val="22"/>
        </w:rPr>
        <w:t xml:space="preserve"> million, as of </w:t>
      </w:r>
      <w:r w:rsidR="00605CE8" w:rsidRPr="009B5332">
        <w:rPr>
          <w:sz w:val="22"/>
        </w:rPr>
        <w:t>March</w:t>
      </w:r>
      <w:r w:rsidR="00690897" w:rsidRPr="00605CE8">
        <w:rPr>
          <w:sz w:val="22"/>
        </w:rPr>
        <w:t> 3</w:t>
      </w:r>
      <w:r w:rsidR="00605CE8">
        <w:rPr>
          <w:sz w:val="22"/>
        </w:rPr>
        <w:t>1</w:t>
      </w:r>
      <w:r w:rsidR="00690897" w:rsidRPr="00605CE8">
        <w:rPr>
          <w:sz w:val="22"/>
        </w:rPr>
        <w:t>, 201</w:t>
      </w:r>
      <w:r w:rsidR="00605CE8">
        <w:rPr>
          <w:sz w:val="22"/>
        </w:rPr>
        <w:t>4</w:t>
      </w:r>
      <w:r w:rsidR="00690897" w:rsidRPr="00605CE8">
        <w:rPr>
          <w:sz w:val="22"/>
        </w:rPr>
        <w:t xml:space="preserve">. Currently, we have exclusive arrangements </w:t>
      </w:r>
      <w:r w:rsidR="00690897" w:rsidRPr="009B5332">
        <w:rPr>
          <w:sz w:val="22"/>
        </w:rPr>
        <w:t xml:space="preserve">with </w:t>
      </w:r>
      <w:r w:rsidR="00D870EC" w:rsidRPr="009B5332">
        <w:rPr>
          <w:sz w:val="22"/>
        </w:rPr>
        <w:t>five</w:t>
      </w:r>
      <w:r w:rsidR="00690897" w:rsidRPr="009B5332">
        <w:rPr>
          <w:sz w:val="22"/>
        </w:rPr>
        <w:t xml:space="preserve"> of the seven Class I railroads</w:t>
      </w:r>
      <w:r w:rsidR="00690897" w:rsidRPr="00605CE8">
        <w:rPr>
          <w:sz w:val="22"/>
        </w:rPr>
        <w:t xml:space="preserve"> that carry freight in the United States to provide this service at many of their railroad ramps. With regard to the leasing of these domestic chassis, we have long-term contracts with many of the largest intermodal logistics companies that operate standard-size domestic intermodal equipment. A large portion of our domestic units are leased under these contracts and under similar contracts with other customers and contain minimum chassis usage subscription levels. For the </w:t>
      </w:r>
      <w:r w:rsidR="00FD5209">
        <w:rPr>
          <w:sz w:val="22"/>
        </w:rPr>
        <w:t>three</w:t>
      </w:r>
      <w:r w:rsidR="00690897" w:rsidRPr="00605CE8">
        <w:rPr>
          <w:sz w:val="22"/>
        </w:rPr>
        <w:t xml:space="preserve"> months ended </w:t>
      </w:r>
      <w:r w:rsidR="00BB1A23">
        <w:rPr>
          <w:sz w:val="22"/>
        </w:rPr>
        <w:t>March</w:t>
      </w:r>
      <w:r w:rsidR="00690897" w:rsidRPr="00605CE8">
        <w:rPr>
          <w:sz w:val="22"/>
        </w:rPr>
        <w:t xml:space="preserve"> 3</w:t>
      </w:r>
      <w:r w:rsidR="00BB1A23">
        <w:rPr>
          <w:sz w:val="22"/>
        </w:rPr>
        <w:t>1</w:t>
      </w:r>
      <w:r w:rsidR="00690897" w:rsidRPr="00605CE8">
        <w:rPr>
          <w:sz w:val="22"/>
        </w:rPr>
        <w:t>, 201</w:t>
      </w:r>
      <w:r w:rsidR="00BB1A23">
        <w:rPr>
          <w:sz w:val="22"/>
        </w:rPr>
        <w:t>4</w:t>
      </w:r>
      <w:r w:rsidR="00690897" w:rsidRPr="00605CE8">
        <w:rPr>
          <w:sz w:val="22"/>
        </w:rPr>
        <w:t xml:space="preserve">, </w:t>
      </w:r>
      <w:r w:rsidR="00690897" w:rsidRPr="009B5332">
        <w:rPr>
          <w:sz w:val="22"/>
        </w:rPr>
        <w:t xml:space="preserve">approximately </w:t>
      </w:r>
      <w:r w:rsidR="00F06BD5">
        <w:rPr>
          <w:sz w:val="22"/>
        </w:rPr>
        <w:t>62</w:t>
      </w:r>
      <w:r w:rsidR="00690897" w:rsidRPr="009B5332">
        <w:rPr>
          <w:sz w:val="22"/>
        </w:rPr>
        <w:t>% of domestic</w:t>
      </w:r>
      <w:r w:rsidR="00690897" w:rsidRPr="00605CE8">
        <w:rPr>
          <w:sz w:val="22"/>
        </w:rPr>
        <w:t xml:space="preserve"> chassis pool revenue was generated under subscription arrangements.</w:t>
      </w:r>
    </w:p>
    <w:p w:rsidR="00690897" w:rsidRPr="00605CE8" w:rsidRDefault="00690897" w:rsidP="00690897">
      <w:pPr>
        <w:widowControl/>
        <w:autoSpaceDE/>
        <w:autoSpaceDN/>
        <w:adjustRightInd/>
        <w:spacing w:after="240"/>
        <w:jc w:val="both"/>
        <w:rPr>
          <w:rFonts w:eastAsia="MS Mincho"/>
          <w:b/>
          <w:sz w:val="22"/>
        </w:rPr>
      </w:pPr>
      <w:r w:rsidRPr="00605CE8">
        <w:rPr>
          <w:rFonts w:eastAsia="MS Mincho"/>
          <w:b/>
          <w:sz w:val="22"/>
        </w:rPr>
        <w:t>Other revenue</w:t>
      </w:r>
    </w:p>
    <w:p w:rsidR="00BB1A23" w:rsidRPr="009B5332" w:rsidRDefault="00690897" w:rsidP="00286B48">
      <w:pPr>
        <w:widowControl/>
        <w:autoSpaceDE/>
        <w:autoSpaceDN/>
        <w:adjustRightInd/>
        <w:spacing w:after="240"/>
        <w:ind w:firstLine="720"/>
        <w:jc w:val="both"/>
        <w:rPr>
          <w:rFonts w:eastAsia="MS Mincho"/>
          <w:sz w:val="22"/>
        </w:rPr>
      </w:pPr>
      <w:r w:rsidRPr="00BB1A23">
        <w:rPr>
          <w:rFonts w:eastAsia="MS Mincho"/>
          <w:sz w:val="22"/>
        </w:rPr>
        <w:t xml:space="preserve">Other revenue is derived from three primary sources: maintenance and repair service revenue, repositioning revenue and management services revenue.  </w:t>
      </w:r>
    </w:p>
    <w:p w:rsidR="00DD01AB" w:rsidRPr="00430DE6" w:rsidRDefault="00DD01AB" w:rsidP="00DD01AB">
      <w:pPr>
        <w:keepNext/>
        <w:keepLines/>
        <w:widowControl/>
        <w:tabs>
          <w:tab w:val="left" w:pos="-720"/>
          <w:tab w:val="left" w:pos="720"/>
          <w:tab w:val="left" w:pos="1440"/>
        </w:tabs>
        <w:suppressAutoHyphens/>
        <w:spacing w:after="240"/>
        <w:rPr>
          <w:b/>
          <w:bCs/>
          <w:sz w:val="22"/>
        </w:rPr>
      </w:pPr>
      <w:r>
        <w:rPr>
          <w:b/>
          <w:bCs/>
          <w:sz w:val="22"/>
        </w:rPr>
        <w:t>Critical Accounting Policies</w:t>
      </w:r>
    </w:p>
    <w:p w:rsidR="00DD01AB" w:rsidRPr="00430DE6" w:rsidRDefault="00DD01AB" w:rsidP="00DD01AB">
      <w:pPr>
        <w:widowControl/>
        <w:tabs>
          <w:tab w:val="left" w:pos="-720"/>
        </w:tabs>
        <w:suppressAutoHyphens/>
        <w:spacing w:after="240"/>
        <w:ind w:firstLine="720"/>
        <w:jc w:val="both"/>
        <w:rPr>
          <w:sz w:val="22"/>
        </w:rPr>
      </w:pPr>
      <w:r>
        <w:rPr>
          <w:sz w:val="22"/>
        </w:rPr>
        <w:t>There have been no material changes in our critical accounting policies from those disclosed in our 2013 Annual Report on Form 10-K.  For discussion of our critical accounting policies, refer to “Management’s Discussion and Analysis of Financial Condition and Results of Operations–Critical Accounting Policies” in Part II, Item 7 of our 2013 Annual Report on Form 10-K.</w:t>
      </w:r>
    </w:p>
    <w:p w:rsidR="001161E0" w:rsidRDefault="001161E0" w:rsidP="009C03D9">
      <w:pPr>
        <w:widowControl/>
        <w:tabs>
          <w:tab w:val="left" w:pos="-720"/>
        </w:tabs>
        <w:suppressAutoHyphens/>
        <w:spacing w:after="240"/>
        <w:ind w:firstLine="720"/>
        <w:jc w:val="both"/>
        <w:rPr>
          <w:sz w:val="22"/>
          <w:highlight w:val="yellow"/>
        </w:rPr>
      </w:pPr>
    </w:p>
    <w:p w:rsidR="00532A5B" w:rsidRDefault="00532A5B" w:rsidP="009C03D9">
      <w:pPr>
        <w:widowControl/>
        <w:tabs>
          <w:tab w:val="left" w:pos="-720"/>
        </w:tabs>
        <w:suppressAutoHyphens/>
        <w:spacing w:after="240"/>
        <w:ind w:firstLine="720"/>
        <w:jc w:val="both"/>
        <w:rPr>
          <w:sz w:val="22"/>
          <w:highlight w:val="yellow"/>
        </w:rPr>
      </w:pPr>
    </w:p>
    <w:p w:rsidR="001161E0" w:rsidRDefault="001161E0" w:rsidP="009C03D9">
      <w:pPr>
        <w:widowControl/>
        <w:tabs>
          <w:tab w:val="left" w:pos="-720"/>
        </w:tabs>
        <w:suppressAutoHyphens/>
        <w:spacing w:after="240"/>
        <w:ind w:firstLine="720"/>
        <w:jc w:val="both"/>
        <w:rPr>
          <w:sz w:val="22"/>
          <w:highlight w:val="yellow"/>
        </w:rPr>
      </w:pPr>
    </w:p>
    <w:p w:rsidR="001161E0" w:rsidRPr="0053635E" w:rsidRDefault="001161E0" w:rsidP="008D5370">
      <w:pPr>
        <w:widowControl/>
        <w:tabs>
          <w:tab w:val="left" w:pos="-720"/>
        </w:tabs>
        <w:suppressAutoHyphens/>
        <w:spacing w:after="240"/>
        <w:jc w:val="both"/>
        <w:rPr>
          <w:sz w:val="22"/>
          <w:highlight w:val="yellow"/>
        </w:rPr>
      </w:pPr>
    </w:p>
    <w:p w:rsidR="00831E1B" w:rsidRPr="0053635E" w:rsidRDefault="00831E1B" w:rsidP="009C03D9">
      <w:pPr>
        <w:widowControl/>
        <w:tabs>
          <w:tab w:val="left" w:pos="-720"/>
        </w:tabs>
        <w:suppressAutoHyphens/>
        <w:spacing w:after="240"/>
        <w:ind w:firstLine="720"/>
        <w:jc w:val="both"/>
        <w:rPr>
          <w:sz w:val="22"/>
          <w:highlight w:val="yellow"/>
        </w:rPr>
      </w:pPr>
    </w:p>
    <w:p w:rsidR="00866753" w:rsidRPr="00430DE6" w:rsidRDefault="00866753" w:rsidP="00866753">
      <w:pPr>
        <w:keepNext/>
        <w:keepLines/>
        <w:tabs>
          <w:tab w:val="left" w:pos="-720"/>
          <w:tab w:val="left" w:pos="720"/>
          <w:tab w:val="left" w:pos="1440"/>
        </w:tabs>
        <w:suppressAutoHyphens/>
        <w:spacing w:after="240"/>
        <w:rPr>
          <w:b/>
          <w:bCs/>
          <w:sz w:val="22"/>
        </w:rPr>
      </w:pPr>
      <w:r w:rsidRPr="00430DE6">
        <w:rPr>
          <w:b/>
          <w:bCs/>
          <w:sz w:val="22"/>
        </w:rPr>
        <w:lastRenderedPageBreak/>
        <w:t>Comparison of our consolidated results for the three months ended March 31, 2014 to the three months ended March 31, 2013</w:t>
      </w:r>
      <w:r w:rsidRPr="00430DE6">
        <w:rPr>
          <w:b/>
          <w:bCs/>
          <w:sz w:val="22"/>
        </w:rPr>
        <w:tab/>
        <w:t xml:space="preserve"> </w:t>
      </w:r>
      <w:r w:rsidRPr="00430DE6">
        <w:rPr>
          <w:b/>
          <w:bCs/>
          <w:sz w:val="22"/>
        </w:rPr>
        <w:tab/>
      </w:r>
    </w:p>
    <w:tbl>
      <w:tblPr>
        <w:tblW w:w="5000" w:type="pct"/>
        <w:jc w:val="center"/>
        <w:tblCellMar>
          <w:left w:w="72" w:type="dxa"/>
          <w:right w:w="72" w:type="dxa"/>
        </w:tblCellMar>
        <w:tblLook w:val="0000" w:firstRow="0" w:lastRow="0" w:firstColumn="0" w:lastColumn="0" w:noHBand="0" w:noVBand="0"/>
      </w:tblPr>
      <w:tblGrid>
        <w:gridCol w:w="5998"/>
        <w:gridCol w:w="1057"/>
        <w:gridCol w:w="1057"/>
        <w:gridCol w:w="1057"/>
        <w:gridCol w:w="1055"/>
      </w:tblGrid>
      <w:tr w:rsidR="00866753" w:rsidRPr="0053635E" w:rsidTr="00FA35B5">
        <w:trPr>
          <w:cantSplit/>
          <w:jc w:val="center"/>
        </w:trPr>
        <w:tc>
          <w:tcPr>
            <w:tcW w:w="2933" w:type="pct"/>
            <w:tcBorders>
              <w:top w:val="nil"/>
              <w:left w:val="nil"/>
              <w:bottom w:val="nil"/>
              <w:right w:val="nil"/>
            </w:tcBorders>
            <w:vAlign w:val="bottom"/>
          </w:tcPr>
          <w:p w:rsidR="00866753" w:rsidRPr="00430DE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430DE6">
              <w:rPr>
                <w:b/>
                <w:bCs/>
              </w:rPr>
              <w:tab/>
            </w:r>
            <w:r w:rsidRPr="00430DE6">
              <w:rPr>
                <w:b/>
                <w:bCs/>
              </w:rPr>
              <w:tab/>
            </w:r>
            <w:r w:rsidRPr="00430DE6">
              <w:rPr>
                <w:b/>
                <w:bCs/>
              </w:rPr>
              <w:tab/>
            </w:r>
            <w:r w:rsidRPr="00430DE6">
              <w:rPr>
                <w:b/>
                <w:bCs/>
              </w:rPr>
              <w:tab/>
            </w:r>
            <w:r w:rsidRPr="00430DE6">
              <w:rPr>
                <w:b/>
                <w:bCs/>
              </w:rPr>
              <w:tab/>
            </w:r>
            <w:r w:rsidRPr="00430DE6">
              <w:rPr>
                <w:b/>
                <w:bCs/>
              </w:rPr>
              <w:tab/>
            </w:r>
            <w:r w:rsidRPr="00430DE6">
              <w:rPr>
                <w:b/>
                <w:bCs/>
              </w:rPr>
              <w:tab/>
            </w:r>
            <w:r w:rsidRPr="00430DE6">
              <w:rPr>
                <w:b/>
                <w:bCs/>
              </w:rPr>
              <w:tab/>
            </w:r>
          </w:p>
        </w:tc>
        <w:tc>
          <w:tcPr>
            <w:tcW w:w="1034" w:type="pct"/>
            <w:gridSpan w:val="2"/>
            <w:tcBorders>
              <w:top w:val="nil"/>
              <w:left w:val="nil"/>
              <w:bottom w:val="nil"/>
              <w:right w:val="nil"/>
            </w:tcBorders>
            <w:vAlign w:val="bottom"/>
          </w:tcPr>
          <w:p w:rsidR="00866753" w:rsidRPr="00430DE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430DE6">
              <w:rPr>
                <w:b/>
                <w:bCs/>
                <w:sz w:val="16"/>
                <w:szCs w:val="18"/>
              </w:rPr>
              <w:t>Three Months Ended March 31,</w:t>
            </w:r>
          </w:p>
        </w:tc>
        <w:tc>
          <w:tcPr>
            <w:tcW w:w="1033" w:type="pct"/>
            <w:gridSpan w:val="2"/>
            <w:tcBorders>
              <w:top w:val="nil"/>
              <w:left w:val="nil"/>
              <w:bottom w:val="nil"/>
              <w:right w:val="nil"/>
            </w:tcBorders>
            <w:vAlign w:val="bottom"/>
          </w:tcPr>
          <w:p w:rsidR="00866753" w:rsidRPr="00430DE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430DE6">
              <w:rPr>
                <w:b/>
                <w:bCs/>
                <w:sz w:val="16"/>
                <w:szCs w:val="18"/>
              </w:rPr>
              <w:t>Variance</w:t>
            </w:r>
          </w:p>
        </w:tc>
      </w:tr>
      <w:tr w:rsidR="00866753" w:rsidRPr="0053635E" w:rsidTr="00FA35B5">
        <w:trPr>
          <w:cantSplit/>
          <w:jc w:val="center"/>
        </w:trPr>
        <w:tc>
          <w:tcPr>
            <w:tcW w:w="2933" w:type="pct"/>
            <w:tcBorders>
              <w:top w:val="nil"/>
              <w:left w:val="nil"/>
              <w:bottom w:val="nil"/>
              <w:right w:val="nil"/>
            </w:tcBorders>
            <w:vAlign w:val="bottom"/>
          </w:tcPr>
          <w:p w:rsidR="00866753" w:rsidRPr="00430DE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p>
        </w:tc>
        <w:tc>
          <w:tcPr>
            <w:tcW w:w="517" w:type="pct"/>
            <w:tcBorders>
              <w:top w:val="nil"/>
              <w:left w:val="nil"/>
              <w:bottom w:val="nil"/>
              <w:right w:val="nil"/>
            </w:tcBorders>
            <w:vAlign w:val="bottom"/>
          </w:tcPr>
          <w:p w:rsidR="00866753" w:rsidRPr="00430DE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430DE6">
              <w:rPr>
                <w:b/>
                <w:bCs/>
                <w:sz w:val="16"/>
                <w:szCs w:val="18"/>
              </w:rPr>
              <w:t>2014</w:t>
            </w:r>
          </w:p>
        </w:tc>
        <w:tc>
          <w:tcPr>
            <w:tcW w:w="517" w:type="pct"/>
            <w:tcBorders>
              <w:top w:val="nil"/>
              <w:left w:val="nil"/>
              <w:bottom w:val="nil"/>
              <w:right w:val="nil"/>
            </w:tcBorders>
            <w:vAlign w:val="bottom"/>
          </w:tcPr>
          <w:p w:rsidR="00866753" w:rsidRPr="00430DE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430DE6">
              <w:rPr>
                <w:b/>
                <w:bCs/>
                <w:sz w:val="16"/>
                <w:szCs w:val="18"/>
              </w:rPr>
              <w:t>2013</w:t>
            </w:r>
          </w:p>
        </w:tc>
        <w:tc>
          <w:tcPr>
            <w:tcW w:w="517" w:type="pct"/>
            <w:tcBorders>
              <w:top w:val="nil"/>
              <w:left w:val="nil"/>
              <w:bottom w:val="nil"/>
              <w:right w:val="nil"/>
            </w:tcBorders>
            <w:vAlign w:val="bottom"/>
          </w:tcPr>
          <w:p w:rsidR="00866753" w:rsidRPr="00430DE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430DE6">
              <w:rPr>
                <w:b/>
                <w:bCs/>
                <w:sz w:val="16"/>
                <w:szCs w:val="18"/>
              </w:rPr>
              <w:t>$ change</w:t>
            </w:r>
          </w:p>
        </w:tc>
        <w:tc>
          <w:tcPr>
            <w:tcW w:w="516" w:type="pct"/>
            <w:tcBorders>
              <w:top w:val="nil"/>
              <w:left w:val="nil"/>
              <w:bottom w:val="nil"/>
              <w:right w:val="nil"/>
            </w:tcBorders>
            <w:vAlign w:val="bottom"/>
          </w:tcPr>
          <w:p w:rsidR="00866753" w:rsidRPr="00430DE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430DE6">
              <w:rPr>
                <w:b/>
                <w:bCs/>
                <w:sz w:val="16"/>
                <w:szCs w:val="18"/>
              </w:rPr>
              <w:t>% change</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F15AB4">
              <w:rPr>
                <w:b/>
                <w:bCs/>
              </w:rPr>
              <w:t>Revenues:</w:t>
            </w:r>
          </w:p>
        </w:tc>
        <w:tc>
          <w:tcPr>
            <w:tcW w:w="517" w:type="pct"/>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17" w:type="pct"/>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17" w:type="pct"/>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16" w:type="pct"/>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ind w:left="400" w:hanging="200"/>
            </w:pPr>
            <w:r w:rsidRPr="00F15AB4">
              <w:t>Equipment leasing revenue</w:t>
            </w:r>
            <w:r w:rsidRPr="00F15AB4">
              <w:tab/>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   131,369</w:t>
            </w:r>
          </w:p>
        </w:tc>
        <w:tc>
          <w:tcPr>
            <w:tcW w:w="517" w:type="pct"/>
            <w:tcBorders>
              <w:top w:val="nil"/>
              <w:left w:val="nil"/>
              <w:bottom w:val="nil"/>
              <w:right w:val="nil"/>
            </w:tcBorders>
            <w:vAlign w:val="bottom"/>
          </w:tcPr>
          <w:p w:rsidR="00866753" w:rsidRPr="00430DE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30DE6">
              <w:t>$   107,547</w:t>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     23,822</w:t>
            </w:r>
          </w:p>
        </w:tc>
        <w:tc>
          <w:tcPr>
            <w:tcW w:w="516"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22</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ind w:left="400" w:hanging="200"/>
            </w:pPr>
            <w:r w:rsidRPr="00F15AB4">
              <w:t>Finance revenue</w:t>
            </w:r>
            <w:r w:rsidRPr="00F15AB4">
              <w:tab/>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595</w:t>
            </w:r>
          </w:p>
        </w:tc>
        <w:tc>
          <w:tcPr>
            <w:tcW w:w="517" w:type="pct"/>
            <w:tcBorders>
              <w:top w:val="nil"/>
              <w:left w:val="nil"/>
              <w:bottom w:val="nil"/>
              <w:right w:val="nil"/>
            </w:tcBorders>
            <w:vAlign w:val="bottom"/>
          </w:tcPr>
          <w:p w:rsidR="00866753" w:rsidRPr="00430DE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430DE6">
              <w:t>1,010</w:t>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(415)</w:t>
            </w:r>
          </w:p>
        </w:tc>
        <w:tc>
          <w:tcPr>
            <w:tcW w:w="516"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(41)</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spacing w:after="20"/>
              <w:ind w:left="400" w:hanging="200"/>
            </w:pPr>
            <w:r w:rsidRPr="00F15AB4">
              <w:t>Other revenue</w:t>
            </w:r>
            <w:r w:rsidRPr="00F15AB4">
              <w:tab/>
            </w:r>
          </w:p>
        </w:tc>
        <w:tc>
          <w:tcPr>
            <w:tcW w:w="517" w:type="pct"/>
            <w:tcBorders>
              <w:top w:val="nil"/>
              <w:left w:val="nil"/>
              <w:bottom w:val="nil"/>
              <w:right w:val="nil"/>
            </w:tcBorders>
            <w:vAlign w:val="bottom"/>
          </w:tcPr>
          <w:p w:rsidR="00866753" w:rsidRPr="008F44C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44C6">
              <w:t>7,687</w:t>
            </w:r>
          </w:p>
        </w:tc>
        <w:tc>
          <w:tcPr>
            <w:tcW w:w="517" w:type="pct"/>
            <w:tcBorders>
              <w:top w:val="nil"/>
              <w:left w:val="nil"/>
              <w:bottom w:val="nil"/>
              <w:right w:val="nil"/>
            </w:tcBorders>
            <w:vAlign w:val="bottom"/>
          </w:tcPr>
          <w:p w:rsidR="00866753" w:rsidRPr="00430DE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430DE6">
              <w:t>9,342</w:t>
            </w:r>
          </w:p>
        </w:tc>
        <w:tc>
          <w:tcPr>
            <w:tcW w:w="517" w:type="pct"/>
            <w:tcBorders>
              <w:top w:val="nil"/>
              <w:left w:val="nil"/>
              <w:bottom w:val="nil"/>
              <w:right w:val="nil"/>
            </w:tcBorders>
            <w:vAlign w:val="bottom"/>
          </w:tcPr>
          <w:p w:rsidR="00866753" w:rsidRPr="008F44C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44C6">
              <w:t>(1,655)</w:t>
            </w:r>
          </w:p>
        </w:tc>
        <w:tc>
          <w:tcPr>
            <w:tcW w:w="516" w:type="pct"/>
            <w:tcBorders>
              <w:top w:val="nil"/>
              <w:left w:val="nil"/>
              <w:bottom w:val="nil"/>
              <w:right w:val="nil"/>
            </w:tcBorders>
            <w:vAlign w:val="bottom"/>
          </w:tcPr>
          <w:p w:rsidR="00866753" w:rsidRPr="008F44C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44C6">
              <w:t>(18)</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spacing w:after="20"/>
              <w:ind w:left="200" w:hanging="200"/>
            </w:pPr>
            <w:r w:rsidRPr="00F15AB4">
              <w:rPr>
                <w:b/>
                <w:bCs/>
              </w:rPr>
              <w:t>Total revenues</w:t>
            </w:r>
            <w:r w:rsidRPr="00F15AB4">
              <w:tab/>
            </w:r>
          </w:p>
        </w:tc>
        <w:tc>
          <w:tcPr>
            <w:tcW w:w="517" w:type="pct"/>
            <w:tcBorders>
              <w:top w:val="nil"/>
              <w:left w:val="nil"/>
              <w:bottom w:val="nil"/>
              <w:right w:val="nil"/>
            </w:tcBorders>
            <w:vAlign w:val="bottom"/>
          </w:tcPr>
          <w:p w:rsidR="00866753" w:rsidRPr="008F44C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44C6">
              <w:t>$   139,651</w:t>
            </w:r>
          </w:p>
        </w:tc>
        <w:tc>
          <w:tcPr>
            <w:tcW w:w="517" w:type="pct"/>
            <w:tcBorders>
              <w:top w:val="nil"/>
              <w:left w:val="nil"/>
              <w:bottom w:val="nil"/>
              <w:right w:val="nil"/>
            </w:tcBorders>
            <w:vAlign w:val="bottom"/>
          </w:tcPr>
          <w:p w:rsidR="00866753" w:rsidRPr="00F151DE"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151DE">
              <w:t>$</w:t>
            </w:r>
            <w:r>
              <w:t xml:space="preserve"> </w:t>
            </w:r>
            <w:r w:rsidRPr="00F151DE">
              <w:t xml:space="preserve">  117,899</w:t>
            </w:r>
          </w:p>
        </w:tc>
        <w:tc>
          <w:tcPr>
            <w:tcW w:w="517" w:type="pct"/>
            <w:tcBorders>
              <w:top w:val="nil"/>
              <w:left w:val="nil"/>
              <w:bottom w:val="nil"/>
              <w:right w:val="nil"/>
            </w:tcBorders>
            <w:vAlign w:val="bottom"/>
          </w:tcPr>
          <w:p w:rsidR="00866753" w:rsidRPr="008F44C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44C6">
              <w:t>$     21,752</w:t>
            </w:r>
          </w:p>
        </w:tc>
        <w:tc>
          <w:tcPr>
            <w:tcW w:w="516" w:type="pct"/>
            <w:tcBorders>
              <w:top w:val="nil"/>
              <w:left w:val="nil"/>
              <w:bottom w:val="nil"/>
              <w:right w:val="nil"/>
            </w:tcBorders>
            <w:vAlign w:val="bottom"/>
          </w:tcPr>
          <w:p w:rsidR="00866753" w:rsidRPr="008F44C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44C6">
              <w:t>18</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F15AB4">
              <w:rPr>
                <w:b/>
                <w:bCs/>
              </w:rPr>
              <w:t>Expenses:</w:t>
            </w:r>
          </w:p>
        </w:tc>
        <w:tc>
          <w:tcPr>
            <w:tcW w:w="517" w:type="pct"/>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17" w:type="pct"/>
            <w:tcBorders>
              <w:top w:val="nil"/>
              <w:left w:val="nil"/>
              <w:bottom w:val="nil"/>
              <w:right w:val="nil"/>
            </w:tcBorders>
            <w:vAlign w:val="bottom"/>
          </w:tcPr>
          <w:p w:rsidR="00866753" w:rsidRPr="00F151D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7" w:type="pct"/>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516" w:type="pct"/>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ind w:left="400" w:hanging="200"/>
            </w:pPr>
            <w:r w:rsidRPr="00F15AB4">
              <w:t>Direct operating expenses</w:t>
            </w:r>
            <w:r w:rsidRPr="00F15AB4">
              <w:tab/>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66,833</w:t>
            </w:r>
          </w:p>
        </w:tc>
        <w:tc>
          <w:tcPr>
            <w:tcW w:w="517" w:type="pct"/>
            <w:tcBorders>
              <w:top w:val="nil"/>
              <w:left w:val="nil"/>
              <w:bottom w:val="nil"/>
              <w:right w:val="nil"/>
            </w:tcBorders>
            <w:vAlign w:val="bottom"/>
          </w:tcPr>
          <w:p w:rsidR="00866753" w:rsidRPr="00F151D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151DE">
              <w:t>61,003</w:t>
            </w:r>
          </w:p>
        </w:tc>
        <w:tc>
          <w:tcPr>
            <w:tcW w:w="517"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5,830</w:t>
            </w:r>
          </w:p>
        </w:tc>
        <w:tc>
          <w:tcPr>
            <w:tcW w:w="516"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10</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ind w:left="400" w:hanging="200"/>
            </w:pPr>
            <w:r w:rsidRPr="00F15AB4">
              <w:t>Selling, general and administrative expenses</w:t>
            </w:r>
            <w:r w:rsidRPr="00F15AB4">
              <w:tab/>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18,569</w:t>
            </w:r>
          </w:p>
        </w:tc>
        <w:tc>
          <w:tcPr>
            <w:tcW w:w="517" w:type="pct"/>
            <w:tcBorders>
              <w:top w:val="nil"/>
              <w:left w:val="nil"/>
              <w:bottom w:val="nil"/>
              <w:right w:val="nil"/>
            </w:tcBorders>
            <w:vAlign w:val="bottom"/>
          </w:tcPr>
          <w:p w:rsidR="00866753" w:rsidRPr="00F151D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151DE">
              <w:t>13,514</w:t>
            </w:r>
          </w:p>
        </w:tc>
        <w:tc>
          <w:tcPr>
            <w:tcW w:w="517"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5,055</w:t>
            </w:r>
          </w:p>
        </w:tc>
        <w:tc>
          <w:tcPr>
            <w:tcW w:w="516"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37</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ind w:left="400" w:hanging="200"/>
            </w:pPr>
            <w:r w:rsidRPr="00F15AB4">
              <w:t>Depreciation expense</w:t>
            </w:r>
            <w:r w:rsidRPr="00F15AB4">
              <w:tab/>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18,504</w:t>
            </w:r>
          </w:p>
        </w:tc>
        <w:tc>
          <w:tcPr>
            <w:tcW w:w="517" w:type="pct"/>
            <w:tcBorders>
              <w:top w:val="nil"/>
              <w:left w:val="nil"/>
              <w:bottom w:val="nil"/>
              <w:right w:val="nil"/>
            </w:tcBorders>
            <w:vAlign w:val="bottom"/>
          </w:tcPr>
          <w:p w:rsidR="00866753" w:rsidRPr="00F151D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151DE">
              <w:t>17,274</w:t>
            </w:r>
          </w:p>
        </w:tc>
        <w:tc>
          <w:tcPr>
            <w:tcW w:w="517"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1,230</w:t>
            </w:r>
          </w:p>
        </w:tc>
        <w:tc>
          <w:tcPr>
            <w:tcW w:w="516"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7</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ind w:left="400" w:hanging="200"/>
            </w:pPr>
            <w:r w:rsidRPr="00F15AB4">
              <w:t>Provision for doubtful accounts</w:t>
            </w:r>
            <w:r w:rsidRPr="00F15AB4">
              <w:tab/>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3,457</w:t>
            </w:r>
          </w:p>
        </w:tc>
        <w:tc>
          <w:tcPr>
            <w:tcW w:w="517" w:type="pct"/>
            <w:tcBorders>
              <w:top w:val="nil"/>
              <w:left w:val="nil"/>
              <w:bottom w:val="nil"/>
              <w:right w:val="nil"/>
            </w:tcBorders>
            <w:vAlign w:val="bottom"/>
          </w:tcPr>
          <w:p w:rsidR="00866753" w:rsidRPr="00F151D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151DE">
              <w:t>2,156</w:t>
            </w:r>
          </w:p>
        </w:tc>
        <w:tc>
          <w:tcPr>
            <w:tcW w:w="517"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1,301</w:t>
            </w:r>
          </w:p>
        </w:tc>
        <w:tc>
          <w:tcPr>
            <w:tcW w:w="516"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60</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ind w:left="400" w:hanging="200"/>
            </w:pPr>
            <w:r w:rsidRPr="00F15AB4">
              <w:t>Impairment of leasing equipment</w:t>
            </w:r>
            <w:r w:rsidRPr="00F15AB4">
              <w:tab/>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1,126</w:t>
            </w:r>
          </w:p>
        </w:tc>
        <w:tc>
          <w:tcPr>
            <w:tcW w:w="517" w:type="pct"/>
            <w:tcBorders>
              <w:top w:val="nil"/>
              <w:left w:val="nil"/>
              <w:bottom w:val="nil"/>
              <w:right w:val="nil"/>
            </w:tcBorders>
            <w:vAlign w:val="bottom"/>
          </w:tcPr>
          <w:p w:rsidR="00866753" w:rsidRPr="00F151D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151DE">
              <w:t>2,133</w:t>
            </w:r>
          </w:p>
        </w:tc>
        <w:tc>
          <w:tcPr>
            <w:tcW w:w="517"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(1,007)</w:t>
            </w:r>
          </w:p>
        </w:tc>
        <w:tc>
          <w:tcPr>
            <w:tcW w:w="516"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(47)</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ind w:left="400" w:hanging="200"/>
            </w:pPr>
            <w:r w:rsidRPr="00F15AB4">
              <w:t>Loss on modification and extinguishment of debt and capital lease obligations</w:t>
            </w:r>
            <w:r w:rsidRPr="00F15AB4">
              <w:tab/>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22</w:t>
            </w:r>
          </w:p>
        </w:tc>
        <w:tc>
          <w:tcPr>
            <w:tcW w:w="517" w:type="pct"/>
            <w:tcBorders>
              <w:top w:val="nil"/>
              <w:left w:val="nil"/>
              <w:bottom w:val="nil"/>
              <w:right w:val="nil"/>
            </w:tcBorders>
            <w:vAlign w:val="bottom"/>
          </w:tcPr>
          <w:p w:rsidR="00866753" w:rsidRPr="00F151D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151DE">
              <w:t>647</w:t>
            </w:r>
          </w:p>
        </w:tc>
        <w:tc>
          <w:tcPr>
            <w:tcW w:w="517"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(625)</w:t>
            </w:r>
          </w:p>
        </w:tc>
        <w:tc>
          <w:tcPr>
            <w:tcW w:w="516"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(97)</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ind w:left="400" w:hanging="200"/>
            </w:pPr>
            <w:r w:rsidRPr="00F15AB4">
              <w:t>Interest expense</w:t>
            </w:r>
            <w:r w:rsidRPr="00F15AB4">
              <w:tab/>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22,216</w:t>
            </w:r>
          </w:p>
        </w:tc>
        <w:tc>
          <w:tcPr>
            <w:tcW w:w="517" w:type="pct"/>
            <w:tcBorders>
              <w:top w:val="nil"/>
              <w:left w:val="nil"/>
              <w:bottom w:val="nil"/>
              <w:right w:val="nil"/>
            </w:tcBorders>
            <w:vAlign w:val="bottom"/>
          </w:tcPr>
          <w:p w:rsidR="00866753" w:rsidRPr="00F151D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151DE">
              <w:t>22,722</w:t>
            </w:r>
          </w:p>
        </w:tc>
        <w:tc>
          <w:tcPr>
            <w:tcW w:w="517"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(506)</w:t>
            </w:r>
          </w:p>
        </w:tc>
        <w:tc>
          <w:tcPr>
            <w:tcW w:w="516"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(2)</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ind w:left="400" w:hanging="200"/>
            </w:pPr>
            <w:r w:rsidRPr="00F15AB4">
              <w:t>Interest income</w:t>
            </w:r>
            <w:r w:rsidRPr="00F15AB4">
              <w:tab/>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(24)</w:t>
            </w:r>
          </w:p>
        </w:tc>
        <w:tc>
          <w:tcPr>
            <w:tcW w:w="517" w:type="pct"/>
            <w:tcBorders>
              <w:top w:val="nil"/>
              <w:left w:val="nil"/>
              <w:bottom w:val="nil"/>
              <w:right w:val="nil"/>
            </w:tcBorders>
            <w:vAlign w:val="bottom"/>
          </w:tcPr>
          <w:p w:rsidR="00866753" w:rsidRPr="00F151D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151DE">
              <w:t>(2)</w:t>
            </w:r>
          </w:p>
        </w:tc>
        <w:tc>
          <w:tcPr>
            <w:tcW w:w="517"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(22)</w:t>
            </w:r>
          </w:p>
        </w:tc>
        <w:tc>
          <w:tcPr>
            <w:tcW w:w="516"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spacing w:after="20"/>
              <w:ind w:left="400" w:hanging="200"/>
            </w:pPr>
            <w:r w:rsidRPr="00F15AB4">
              <w:t>Other income, net</w:t>
            </w:r>
            <w:r w:rsidRPr="00F15AB4">
              <w:tab/>
            </w:r>
          </w:p>
        </w:tc>
        <w:tc>
          <w:tcPr>
            <w:tcW w:w="517" w:type="pct"/>
            <w:tcBorders>
              <w:top w:val="nil"/>
              <w:left w:val="nil"/>
              <w:bottom w:val="nil"/>
              <w:right w:val="nil"/>
            </w:tcBorders>
            <w:vAlign w:val="bottom"/>
          </w:tcPr>
          <w:p w:rsidR="00866753" w:rsidRPr="008F44C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44C6">
              <w:t>(382)</w:t>
            </w:r>
          </w:p>
        </w:tc>
        <w:tc>
          <w:tcPr>
            <w:tcW w:w="517" w:type="pct"/>
            <w:tcBorders>
              <w:top w:val="nil"/>
              <w:left w:val="nil"/>
              <w:bottom w:val="nil"/>
              <w:right w:val="nil"/>
            </w:tcBorders>
            <w:vAlign w:val="bottom"/>
          </w:tcPr>
          <w:p w:rsidR="00866753" w:rsidRPr="00F151DE"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151DE">
              <w:t>(798)</w:t>
            </w:r>
          </w:p>
        </w:tc>
        <w:tc>
          <w:tcPr>
            <w:tcW w:w="517" w:type="pct"/>
            <w:tcBorders>
              <w:top w:val="nil"/>
              <w:left w:val="nil"/>
              <w:bottom w:val="nil"/>
              <w:right w:val="nil"/>
            </w:tcBorders>
            <w:vAlign w:val="bottom"/>
          </w:tcPr>
          <w:p w:rsidR="00866753" w:rsidRPr="00161852"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161852">
              <w:t>416</w:t>
            </w:r>
          </w:p>
        </w:tc>
        <w:tc>
          <w:tcPr>
            <w:tcW w:w="516" w:type="pct"/>
            <w:tcBorders>
              <w:top w:val="nil"/>
              <w:left w:val="nil"/>
              <w:bottom w:val="nil"/>
              <w:right w:val="nil"/>
            </w:tcBorders>
            <w:vAlign w:val="bottom"/>
          </w:tcPr>
          <w:p w:rsidR="00866753" w:rsidRPr="00161852"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t>(52)</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spacing w:after="20"/>
              <w:ind w:left="200" w:hanging="200"/>
            </w:pPr>
            <w:r w:rsidRPr="00F15AB4">
              <w:rPr>
                <w:b/>
                <w:bCs/>
              </w:rPr>
              <w:t>Total expenses</w:t>
            </w:r>
            <w:r w:rsidRPr="00F15AB4">
              <w:tab/>
            </w:r>
          </w:p>
        </w:tc>
        <w:tc>
          <w:tcPr>
            <w:tcW w:w="517" w:type="pct"/>
            <w:tcBorders>
              <w:top w:val="nil"/>
              <w:left w:val="nil"/>
              <w:bottom w:val="nil"/>
              <w:right w:val="nil"/>
            </w:tcBorders>
            <w:vAlign w:val="bottom"/>
          </w:tcPr>
          <w:p w:rsidR="00866753" w:rsidRPr="008F44C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44C6">
              <w:t>130,321</w:t>
            </w:r>
          </w:p>
        </w:tc>
        <w:tc>
          <w:tcPr>
            <w:tcW w:w="517" w:type="pct"/>
            <w:tcBorders>
              <w:top w:val="nil"/>
              <w:left w:val="nil"/>
              <w:bottom w:val="nil"/>
              <w:right w:val="nil"/>
            </w:tcBorders>
            <w:vAlign w:val="bottom"/>
          </w:tcPr>
          <w:p w:rsidR="00866753" w:rsidRPr="00F151DE"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151DE">
              <w:t>118,649</w:t>
            </w:r>
          </w:p>
        </w:tc>
        <w:tc>
          <w:tcPr>
            <w:tcW w:w="517" w:type="pct"/>
            <w:tcBorders>
              <w:top w:val="nil"/>
              <w:left w:val="nil"/>
              <w:bottom w:val="nil"/>
              <w:right w:val="nil"/>
            </w:tcBorders>
            <w:vAlign w:val="bottom"/>
          </w:tcPr>
          <w:p w:rsidR="00866753" w:rsidRPr="00161852"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161852">
              <w:t>11,672</w:t>
            </w:r>
          </w:p>
        </w:tc>
        <w:tc>
          <w:tcPr>
            <w:tcW w:w="516" w:type="pct"/>
            <w:tcBorders>
              <w:top w:val="nil"/>
              <w:left w:val="nil"/>
              <w:bottom w:val="nil"/>
              <w:right w:val="nil"/>
            </w:tcBorders>
            <w:vAlign w:val="bottom"/>
          </w:tcPr>
          <w:p w:rsidR="00866753" w:rsidRPr="00161852"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161852">
              <w:t>10</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ind w:left="200" w:hanging="200"/>
            </w:pPr>
            <w:r w:rsidRPr="00F15AB4">
              <w:t>Incom</w:t>
            </w:r>
            <w:r>
              <w:t>e</w:t>
            </w:r>
            <w:r w:rsidRPr="00F15AB4">
              <w:t xml:space="preserve"> (loss) before provision (benefit) for income taxes</w:t>
            </w:r>
            <w:r w:rsidRPr="00F15AB4">
              <w:tab/>
            </w:r>
          </w:p>
        </w:tc>
        <w:tc>
          <w:tcPr>
            <w:tcW w:w="517" w:type="pct"/>
            <w:tcBorders>
              <w:top w:val="nil"/>
              <w:left w:val="nil"/>
              <w:bottom w:val="nil"/>
              <w:right w:val="nil"/>
            </w:tcBorders>
            <w:vAlign w:val="bottom"/>
          </w:tcPr>
          <w:p w:rsidR="00866753" w:rsidRPr="008F44C6"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44C6">
              <w:t>9,330</w:t>
            </w:r>
          </w:p>
        </w:tc>
        <w:tc>
          <w:tcPr>
            <w:tcW w:w="517" w:type="pct"/>
            <w:tcBorders>
              <w:top w:val="nil"/>
              <w:left w:val="nil"/>
              <w:bottom w:val="nil"/>
              <w:right w:val="nil"/>
            </w:tcBorders>
            <w:vAlign w:val="bottom"/>
          </w:tcPr>
          <w:p w:rsidR="00866753" w:rsidRPr="00F151D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151DE">
              <w:t>(750)</w:t>
            </w:r>
          </w:p>
        </w:tc>
        <w:tc>
          <w:tcPr>
            <w:tcW w:w="517" w:type="pct"/>
            <w:tcBorders>
              <w:top w:val="nil"/>
              <w:left w:val="nil"/>
              <w:bottom w:val="nil"/>
              <w:right w:val="nil"/>
            </w:tcBorders>
            <w:vAlign w:val="bottom"/>
          </w:tcPr>
          <w:p w:rsidR="00866753" w:rsidRPr="00161852"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161852">
              <w:t>10,080</w:t>
            </w:r>
          </w:p>
        </w:tc>
        <w:tc>
          <w:tcPr>
            <w:tcW w:w="516" w:type="pct"/>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r w:rsidRPr="00161852">
              <w:t>**</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spacing w:after="20"/>
              <w:ind w:left="200" w:hanging="200"/>
            </w:pPr>
            <w:r w:rsidRPr="00F15AB4">
              <w:t>Provision (benefit) for income taxes</w:t>
            </w:r>
            <w:r w:rsidRPr="00F15AB4">
              <w:tab/>
            </w:r>
          </w:p>
        </w:tc>
        <w:tc>
          <w:tcPr>
            <w:tcW w:w="517" w:type="pct"/>
            <w:tcBorders>
              <w:top w:val="nil"/>
              <w:left w:val="nil"/>
              <w:bottom w:val="nil"/>
              <w:right w:val="nil"/>
            </w:tcBorders>
            <w:vAlign w:val="bottom"/>
          </w:tcPr>
          <w:p w:rsidR="00866753" w:rsidRPr="008F44C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44C6">
              <w:t>3,856</w:t>
            </w:r>
          </w:p>
        </w:tc>
        <w:tc>
          <w:tcPr>
            <w:tcW w:w="517" w:type="pct"/>
            <w:tcBorders>
              <w:top w:val="nil"/>
              <w:left w:val="nil"/>
              <w:bottom w:val="nil"/>
              <w:right w:val="nil"/>
            </w:tcBorders>
            <w:vAlign w:val="bottom"/>
          </w:tcPr>
          <w:p w:rsidR="00866753" w:rsidRPr="00F151DE"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t>(</w:t>
            </w:r>
            <w:r w:rsidRPr="00F151DE">
              <w:t>315</w:t>
            </w:r>
            <w:r>
              <w:t>)</w:t>
            </w:r>
          </w:p>
        </w:tc>
        <w:tc>
          <w:tcPr>
            <w:tcW w:w="517" w:type="pct"/>
            <w:tcBorders>
              <w:top w:val="nil"/>
              <w:left w:val="nil"/>
              <w:bottom w:val="nil"/>
              <w:right w:val="nil"/>
            </w:tcBorders>
            <w:vAlign w:val="bottom"/>
          </w:tcPr>
          <w:p w:rsidR="00866753" w:rsidRPr="00161852"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161852">
              <w:t>4,171</w:t>
            </w:r>
          </w:p>
        </w:tc>
        <w:tc>
          <w:tcPr>
            <w:tcW w:w="516" w:type="pct"/>
            <w:tcBorders>
              <w:top w:val="nil"/>
              <w:left w:val="nil"/>
              <w:bottom w:val="nil"/>
              <w:right w:val="nil"/>
            </w:tcBorders>
            <w:vAlign w:val="bottom"/>
          </w:tcPr>
          <w:p w:rsidR="00866753" w:rsidRPr="0053635E"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highlight w:val="yellow"/>
              </w:rPr>
            </w:pPr>
            <w:r w:rsidRPr="00161852">
              <w:t>**</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spacing w:after="20"/>
              <w:ind w:left="200" w:hanging="200"/>
            </w:pPr>
            <w:r w:rsidRPr="00F15AB4">
              <w:rPr>
                <w:b/>
                <w:bCs/>
              </w:rPr>
              <w:t>Net income (loss)</w:t>
            </w:r>
            <w:r w:rsidRPr="00F15AB4">
              <w:tab/>
            </w:r>
          </w:p>
        </w:tc>
        <w:tc>
          <w:tcPr>
            <w:tcW w:w="517" w:type="pct"/>
            <w:tcBorders>
              <w:top w:val="nil"/>
              <w:left w:val="nil"/>
              <w:bottom w:val="nil"/>
              <w:right w:val="nil"/>
            </w:tcBorders>
            <w:vAlign w:val="bottom"/>
          </w:tcPr>
          <w:p w:rsidR="00866753" w:rsidRPr="008F44C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44C6">
              <w:t xml:space="preserve">$  </w:t>
            </w:r>
            <w:r>
              <w:t xml:space="preserve">   </w:t>
            </w:r>
            <w:r w:rsidRPr="008F44C6">
              <w:t xml:space="preserve">  5,474</w:t>
            </w:r>
          </w:p>
        </w:tc>
        <w:tc>
          <w:tcPr>
            <w:tcW w:w="517" w:type="pct"/>
            <w:tcBorders>
              <w:top w:val="nil"/>
              <w:left w:val="nil"/>
              <w:bottom w:val="nil"/>
              <w:right w:val="nil"/>
            </w:tcBorders>
            <w:vAlign w:val="bottom"/>
          </w:tcPr>
          <w:p w:rsidR="00866753" w:rsidRPr="00F151DE"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151DE">
              <w:t>$</w:t>
            </w:r>
            <w:r>
              <w:t xml:space="preserve">    </w:t>
            </w:r>
            <w:r w:rsidRPr="00F151DE">
              <w:t xml:space="preserve">   (435)</w:t>
            </w:r>
          </w:p>
        </w:tc>
        <w:tc>
          <w:tcPr>
            <w:tcW w:w="517" w:type="pct"/>
            <w:tcBorders>
              <w:top w:val="nil"/>
              <w:left w:val="nil"/>
              <w:bottom w:val="nil"/>
              <w:right w:val="nil"/>
            </w:tcBorders>
            <w:vAlign w:val="bottom"/>
          </w:tcPr>
          <w:p w:rsidR="00866753" w:rsidRPr="00161852"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161852">
              <w:t xml:space="preserve">$ </w:t>
            </w:r>
            <w:r>
              <w:t xml:space="preserve">    </w:t>
            </w:r>
            <w:r w:rsidRPr="00161852">
              <w:t xml:space="preserve">  5,909</w:t>
            </w:r>
          </w:p>
        </w:tc>
        <w:tc>
          <w:tcPr>
            <w:tcW w:w="516" w:type="pct"/>
            <w:tcBorders>
              <w:top w:val="nil"/>
              <w:left w:val="nil"/>
              <w:bottom w:val="nil"/>
              <w:right w:val="nil"/>
            </w:tcBorders>
            <w:vAlign w:val="bottom"/>
          </w:tcPr>
          <w:p w:rsidR="00866753" w:rsidRPr="0053635E"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highlight w:val="yellow"/>
              </w:rPr>
            </w:pPr>
            <w:r w:rsidRPr="00161852">
              <w:t>**</w:t>
            </w:r>
          </w:p>
        </w:tc>
      </w:tr>
      <w:tr w:rsidR="00866753" w:rsidRPr="00161852" w:rsidTr="00FA35B5">
        <w:trPr>
          <w:cantSplit/>
          <w:jc w:val="center"/>
        </w:trPr>
        <w:tc>
          <w:tcPr>
            <w:tcW w:w="2933" w:type="pct"/>
            <w:tcBorders>
              <w:top w:val="nil"/>
              <w:left w:val="nil"/>
              <w:bottom w:val="nil"/>
              <w:right w:val="nil"/>
            </w:tcBorders>
          </w:tcPr>
          <w:p w:rsidR="00866753" w:rsidRPr="00F15AB4" w:rsidRDefault="00866753" w:rsidP="00FA35B5">
            <w:pPr>
              <w:suppressAutoHyphens/>
              <w:spacing w:after="20"/>
              <w:ind w:left="200" w:hanging="200"/>
            </w:pPr>
            <w:r w:rsidRPr="00F15AB4">
              <w:rPr>
                <w:b/>
                <w:bCs/>
              </w:rPr>
              <w:t>Adjusted net income(1)</w:t>
            </w:r>
            <w:r w:rsidRPr="00F15AB4">
              <w:tab/>
            </w:r>
          </w:p>
        </w:tc>
        <w:tc>
          <w:tcPr>
            <w:tcW w:w="517" w:type="pct"/>
            <w:tcBorders>
              <w:top w:val="nil"/>
              <w:left w:val="nil"/>
              <w:bottom w:val="nil"/>
              <w:right w:val="nil"/>
            </w:tcBorders>
            <w:vAlign w:val="bottom"/>
          </w:tcPr>
          <w:p w:rsidR="00866753" w:rsidRPr="008F44C6"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44C6">
              <w:t xml:space="preserve">$  </w:t>
            </w:r>
            <w:r>
              <w:t xml:space="preserve">   </w:t>
            </w:r>
            <w:r w:rsidRPr="008F44C6">
              <w:t xml:space="preserve">  9,348</w:t>
            </w:r>
          </w:p>
        </w:tc>
        <w:tc>
          <w:tcPr>
            <w:tcW w:w="517" w:type="pct"/>
            <w:tcBorders>
              <w:top w:val="nil"/>
              <w:left w:val="nil"/>
              <w:bottom w:val="nil"/>
              <w:right w:val="nil"/>
            </w:tcBorders>
            <w:vAlign w:val="bottom"/>
          </w:tcPr>
          <w:p w:rsidR="00866753" w:rsidRPr="00F151DE"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151DE">
              <w:t>$       4,203</w:t>
            </w:r>
          </w:p>
        </w:tc>
        <w:tc>
          <w:tcPr>
            <w:tcW w:w="517" w:type="pct"/>
            <w:tcBorders>
              <w:top w:val="nil"/>
              <w:left w:val="nil"/>
              <w:bottom w:val="nil"/>
              <w:right w:val="nil"/>
            </w:tcBorders>
            <w:vAlign w:val="bottom"/>
          </w:tcPr>
          <w:p w:rsidR="00866753" w:rsidRPr="00161852"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161852">
              <w:t xml:space="preserve">$ </w:t>
            </w:r>
            <w:r>
              <w:t xml:space="preserve">   </w:t>
            </w:r>
            <w:r w:rsidRPr="00161852">
              <w:t xml:space="preserve">   5,145</w:t>
            </w:r>
          </w:p>
        </w:tc>
        <w:tc>
          <w:tcPr>
            <w:tcW w:w="516" w:type="pct"/>
            <w:tcBorders>
              <w:top w:val="nil"/>
              <w:left w:val="nil"/>
              <w:bottom w:val="nil"/>
              <w:right w:val="nil"/>
            </w:tcBorders>
            <w:vAlign w:val="bottom"/>
          </w:tcPr>
          <w:p w:rsidR="00866753" w:rsidRPr="00161852"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161852">
              <w:t>122</w:t>
            </w:r>
          </w:p>
        </w:tc>
      </w:tr>
      <w:tr w:rsidR="00866753" w:rsidRPr="0053635E" w:rsidTr="00FA35B5">
        <w:trPr>
          <w:cantSplit/>
          <w:jc w:val="center"/>
        </w:trPr>
        <w:tc>
          <w:tcPr>
            <w:tcW w:w="2933" w:type="pct"/>
            <w:tcBorders>
              <w:top w:val="nil"/>
              <w:left w:val="nil"/>
              <w:bottom w:val="nil"/>
              <w:right w:val="nil"/>
            </w:tcBorders>
          </w:tcPr>
          <w:p w:rsidR="00866753" w:rsidRPr="00F15AB4" w:rsidRDefault="00866753" w:rsidP="00FA35B5">
            <w:pPr>
              <w:suppressAutoHyphens/>
              <w:spacing w:after="40"/>
              <w:ind w:left="200" w:hanging="200"/>
            </w:pPr>
            <w:r w:rsidRPr="00F15AB4">
              <w:rPr>
                <w:b/>
                <w:bCs/>
              </w:rPr>
              <w:t>Adjusted EBITDA(1)</w:t>
            </w:r>
            <w:r w:rsidRPr="00F15AB4">
              <w:tab/>
            </w:r>
          </w:p>
        </w:tc>
        <w:tc>
          <w:tcPr>
            <w:tcW w:w="517" w:type="pct"/>
            <w:tcBorders>
              <w:top w:val="nil"/>
              <w:left w:val="nil"/>
              <w:bottom w:val="nil"/>
              <w:right w:val="nil"/>
            </w:tcBorders>
            <w:vAlign w:val="bottom"/>
          </w:tcPr>
          <w:p w:rsidR="00866753" w:rsidRPr="008F44C6"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8F44C6">
              <w:t>$     52,197</w:t>
            </w:r>
          </w:p>
        </w:tc>
        <w:tc>
          <w:tcPr>
            <w:tcW w:w="517" w:type="pct"/>
            <w:tcBorders>
              <w:top w:val="nil"/>
              <w:left w:val="nil"/>
              <w:bottom w:val="nil"/>
              <w:right w:val="nil"/>
            </w:tcBorders>
            <w:vAlign w:val="bottom"/>
          </w:tcPr>
          <w:p w:rsidR="00866753" w:rsidRPr="00F151DE"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F151DE">
              <w:t>$     42,967</w:t>
            </w:r>
          </w:p>
        </w:tc>
        <w:tc>
          <w:tcPr>
            <w:tcW w:w="517" w:type="pct"/>
            <w:tcBorders>
              <w:top w:val="nil"/>
              <w:left w:val="nil"/>
              <w:bottom w:val="nil"/>
              <w:right w:val="nil"/>
            </w:tcBorders>
            <w:vAlign w:val="bottom"/>
          </w:tcPr>
          <w:p w:rsidR="00866753" w:rsidRPr="00161852"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161852">
              <w:t>$       9,230</w:t>
            </w:r>
          </w:p>
        </w:tc>
        <w:tc>
          <w:tcPr>
            <w:tcW w:w="516" w:type="pct"/>
            <w:tcBorders>
              <w:top w:val="nil"/>
              <w:left w:val="nil"/>
              <w:bottom w:val="nil"/>
              <w:right w:val="nil"/>
            </w:tcBorders>
            <w:vAlign w:val="bottom"/>
          </w:tcPr>
          <w:p w:rsidR="00866753" w:rsidRPr="00161852"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161852">
              <w:t>21</w:t>
            </w:r>
          </w:p>
        </w:tc>
      </w:tr>
    </w:tbl>
    <w:p w:rsidR="00866753" w:rsidRPr="00F15AB4" w:rsidRDefault="00CC3A93" w:rsidP="00866753">
      <w:r>
        <w:pict>
          <v:rect id="_x0000_i1025" style="width:184.5pt;height:1pt" o:hrpct="250" o:hrstd="t" o:hrnoshade="t" o:hr="t" fillcolor="black" stroked="f"/>
        </w:pict>
      </w:r>
    </w:p>
    <w:p w:rsidR="00866753" w:rsidRPr="00F15AB4" w:rsidRDefault="00866753" w:rsidP="00866753">
      <w:pPr>
        <w:tabs>
          <w:tab w:val="left" w:pos="-720"/>
          <w:tab w:val="left" w:pos="0"/>
        </w:tabs>
        <w:suppressAutoHyphens/>
        <w:spacing w:after="240"/>
        <w:ind w:left="720" w:hanging="720"/>
        <w:rPr>
          <w:sz w:val="18"/>
          <w:szCs w:val="18"/>
        </w:rPr>
      </w:pPr>
      <w:r w:rsidRPr="00F15AB4">
        <w:rPr>
          <w:sz w:val="18"/>
          <w:szCs w:val="18"/>
        </w:rPr>
        <w:t>**</w:t>
      </w:r>
      <w:r w:rsidRPr="00F15AB4">
        <w:rPr>
          <w:sz w:val="18"/>
          <w:szCs w:val="18"/>
        </w:rPr>
        <w:tab/>
        <w:t>Not meaningful</w:t>
      </w:r>
    </w:p>
    <w:p w:rsidR="00866753" w:rsidRPr="00F15AB4" w:rsidRDefault="00866753" w:rsidP="00866753">
      <w:pPr>
        <w:tabs>
          <w:tab w:val="left" w:pos="-720"/>
          <w:tab w:val="left" w:pos="0"/>
        </w:tabs>
        <w:suppressAutoHyphens/>
        <w:spacing w:after="240"/>
        <w:ind w:left="720" w:hanging="720"/>
        <w:rPr>
          <w:sz w:val="18"/>
          <w:szCs w:val="18"/>
        </w:rPr>
      </w:pPr>
      <w:r w:rsidRPr="00F15AB4">
        <w:rPr>
          <w:sz w:val="18"/>
          <w:szCs w:val="18"/>
        </w:rPr>
        <w:t>(1)</w:t>
      </w:r>
      <w:r w:rsidRPr="00F15AB4">
        <w:rPr>
          <w:sz w:val="18"/>
          <w:szCs w:val="18"/>
        </w:rPr>
        <w:tab/>
        <w:t xml:space="preserve">For a reconciliation of Adjusted net (loss) income and Adjusted EBITDA to the most directly comparable U.S. GAAP measures, see </w:t>
      </w:r>
      <w:r w:rsidRPr="00F15AB4">
        <w:rPr>
          <w:sz w:val="22"/>
        </w:rPr>
        <w:t>—</w:t>
      </w:r>
      <w:r w:rsidRPr="00F15AB4">
        <w:rPr>
          <w:sz w:val="18"/>
          <w:szCs w:val="18"/>
        </w:rPr>
        <w:t>Non-GAAP Measure</w:t>
      </w:r>
      <w:r>
        <w:rPr>
          <w:sz w:val="18"/>
          <w:szCs w:val="18"/>
        </w:rPr>
        <w:t>s</w:t>
      </w:r>
      <w:r w:rsidRPr="00F15AB4">
        <w:rPr>
          <w:sz w:val="18"/>
          <w:szCs w:val="18"/>
        </w:rPr>
        <w:t>.</w:t>
      </w:r>
    </w:p>
    <w:p w:rsidR="00866753" w:rsidRPr="00B76958" w:rsidRDefault="00866753" w:rsidP="00866753">
      <w:pPr>
        <w:tabs>
          <w:tab w:val="left" w:pos="-720"/>
        </w:tabs>
        <w:suppressAutoHyphens/>
        <w:spacing w:after="240"/>
        <w:rPr>
          <w:b/>
          <w:i/>
          <w:sz w:val="22"/>
        </w:rPr>
      </w:pPr>
      <w:r w:rsidRPr="00B76958">
        <w:rPr>
          <w:b/>
          <w:i/>
          <w:sz w:val="22"/>
        </w:rPr>
        <w:t>Revenues</w:t>
      </w:r>
    </w:p>
    <w:p w:rsidR="00866753" w:rsidRPr="00B76958" w:rsidRDefault="00866753" w:rsidP="00866753">
      <w:pPr>
        <w:tabs>
          <w:tab w:val="left" w:pos="-720"/>
        </w:tabs>
        <w:suppressAutoHyphens/>
        <w:spacing w:after="240"/>
        <w:ind w:firstLine="720"/>
        <w:jc w:val="both"/>
        <w:rPr>
          <w:sz w:val="22"/>
        </w:rPr>
      </w:pPr>
      <w:r w:rsidRPr="00F90B0B">
        <w:rPr>
          <w:sz w:val="22"/>
        </w:rPr>
        <w:t>Total Company revenue was $139.7 million for the three months ended March 31, 2014 compared to $117.9 million for the three months ended March 31, 2013, an increase of $21.8 million or 18%.</w:t>
      </w:r>
    </w:p>
    <w:p w:rsidR="00866753" w:rsidRDefault="00866753" w:rsidP="00866753">
      <w:pPr>
        <w:tabs>
          <w:tab w:val="left" w:pos="-720"/>
        </w:tabs>
        <w:suppressAutoHyphens/>
        <w:spacing w:after="240"/>
        <w:ind w:firstLine="720"/>
        <w:jc w:val="both"/>
        <w:rPr>
          <w:sz w:val="22"/>
        </w:rPr>
      </w:pPr>
      <w:r w:rsidRPr="00F90B0B">
        <w:rPr>
          <w:sz w:val="22"/>
        </w:rPr>
        <w:t>Equipment leasing revenue was $131.4</w:t>
      </w:r>
      <w:r>
        <w:rPr>
          <w:sz w:val="22"/>
        </w:rPr>
        <w:t xml:space="preserve"> </w:t>
      </w:r>
      <w:r w:rsidRPr="00F90B0B">
        <w:rPr>
          <w:sz w:val="22"/>
        </w:rPr>
        <w:t xml:space="preserve">million for the three months ended March 31, 2014 compared to $107.5 million for the three months ended March 31, 2013, an increase of $23.9 million or </w:t>
      </w:r>
      <w:r w:rsidRPr="0031669F">
        <w:rPr>
          <w:sz w:val="22"/>
        </w:rPr>
        <w:t>22%. This increase was primarily the result of a 17% increase in average per diem rates, which resulted in an increase in equipment leasing revenue of $18.9 million, and an increase in the average on-hire fleet of approximately 10,900 chassis, or 5%, which led to an increase in equipment leasing revenue of $4.9 million.</w:t>
      </w:r>
    </w:p>
    <w:p w:rsidR="009F28DE" w:rsidRDefault="009F28DE" w:rsidP="00866753">
      <w:pPr>
        <w:tabs>
          <w:tab w:val="left" w:pos="-720"/>
        </w:tabs>
        <w:suppressAutoHyphens/>
        <w:spacing w:after="240"/>
        <w:ind w:firstLine="720"/>
        <w:jc w:val="both"/>
        <w:rPr>
          <w:sz w:val="22"/>
        </w:rPr>
      </w:pPr>
    </w:p>
    <w:p w:rsidR="009F28DE" w:rsidRPr="006652DD" w:rsidRDefault="009F28DE" w:rsidP="00866753">
      <w:pPr>
        <w:tabs>
          <w:tab w:val="left" w:pos="-720"/>
        </w:tabs>
        <w:suppressAutoHyphens/>
        <w:spacing w:after="240"/>
        <w:ind w:firstLine="720"/>
        <w:jc w:val="both"/>
        <w:rPr>
          <w:sz w:val="22"/>
        </w:rPr>
      </w:pPr>
    </w:p>
    <w:p w:rsidR="00866753" w:rsidRPr="00F90B0B" w:rsidRDefault="00866753" w:rsidP="00866753">
      <w:pPr>
        <w:tabs>
          <w:tab w:val="left" w:pos="-720"/>
        </w:tabs>
        <w:suppressAutoHyphens/>
        <w:spacing w:after="240"/>
        <w:ind w:firstLine="720"/>
        <w:jc w:val="both"/>
        <w:rPr>
          <w:sz w:val="22"/>
        </w:rPr>
      </w:pPr>
      <w:r w:rsidRPr="00F90B0B">
        <w:rPr>
          <w:sz w:val="22"/>
        </w:rPr>
        <w:lastRenderedPageBreak/>
        <w:t>The increase in average per diem rates is primarily due to a product mix shift away from term leasing to pool arrangements</w:t>
      </w:r>
      <w:r w:rsidR="00850AD0">
        <w:rPr>
          <w:sz w:val="22"/>
        </w:rPr>
        <w:t>,</w:t>
      </w:r>
      <w:r w:rsidRPr="00F90B0B">
        <w:rPr>
          <w:sz w:val="22"/>
        </w:rPr>
        <w:t xml:space="preserve"> where the per diem rates are significantly higher</w:t>
      </w:r>
      <w:r w:rsidR="00850AD0">
        <w:rPr>
          <w:sz w:val="22"/>
        </w:rPr>
        <w:t>.</w:t>
      </w:r>
      <w:r w:rsidRPr="00F90B0B">
        <w:rPr>
          <w:sz w:val="22"/>
        </w:rPr>
        <w:t xml:space="preserve"> </w:t>
      </w:r>
      <w:r w:rsidR="00850AD0">
        <w:rPr>
          <w:sz w:val="22"/>
        </w:rPr>
        <w:t>We are also able</w:t>
      </w:r>
      <w:r w:rsidRPr="00F90B0B">
        <w:rPr>
          <w:sz w:val="22"/>
        </w:rPr>
        <w:t xml:space="preserve"> to charge a higher rate to motor carriers as shipping lines transition from providing chassis as part of their transportation</w:t>
      </w:r>
      <w:r w:rsidRPr="00F90B0B">
        <w:rPr>
          <w:sz w:val="22"/>
        </w:rPr>
        <w:noBreakHyphen/>
        <w:t>related services</w:t>
      </w:r>
      <w:r w:rsidR="00850AD0">
        <w:rPr>
          <w:sz w:val="22"/>
        </w:rPr>
        <w:t>.  We have also benefited from</w:t>
      </w:r>
      <w:r w:rsidRPr="00F90B0B">
        <w:rPr>
          <w:sz w:val="22"/>
        </w:rPr>
        <w:t xml:space="preserve"> negotiated rate increases to shipping line, railroad and intermodal logistics customers.  The increase in the average on-hire fleet was primarily due to growth in the marine</w:t>
      </w:r>
      <w:r>
        <w:rPr>
          <w:sz w:val="22"/>
        </w:rPr>
        <w:t xml:space="preserve"> </w:t>
      </w:r>
      <w:r w:rsidRPr="00F90B0B">
        <w:rPr>
          <w:sz w:val="22"/>
        </w:rPr>
        <w:t>pools</w:t>
      </w:r>
      <w:r>
        <w:rPr>
          <w:sz w:val="22"/>
        </w:rPr>
        <w:t xml:space="preserve">, </w:t>
      </w:r>
      <w:r w:rsidRPr="00F90B0B">
        <w:rPr>
          <w:sz w:val="22"/>
        </w:rPr>
        <w:t>partially offset by a reduced number of chassis on-hire under long-term leases. Growth in our marine pools was due to the Company’s purchase of 22,376 chassis from our shipping line customers from April 1, 2013 through March 31, 2014 as well as a shift of 19,769 term lease units into our pools</w:t>
      </w:r>
      <w:r w:rsidR="0076116A">
        <w:rPr>
          <w:sz w:val="22"/>
        </w:rPr>
        <w:t xml:space="preserve"> over the same period</w:t>
      </w:r>
      <w:r w:rsidRPr="00F90B0B">
        <w:rPr>
          <w:sz w:val="22"/>
        </w:rPr>
        <w:t>.</w:t>
      </w:r>
      <w:r>
        <w:rPr>
          <w:sz w:val="22"/>
        </w:rPr>
        <w:t xml:space="preserve"> </w:t>
      </w:r>
      <w:r w:rsidRPr="00F90B0B">
        <w:rPr>
          <w:sz w:val="22"/>
        </w:rPr>
        <w:t>Such purchases and movements from long-term lease arrangements to pools are consistent with our expectations as the industry shift to the motor carrier model continues to evolve.</w:t>
      </w:r>
    </w:p>
    <w:p w:rsidR="00866753" w:rsidRPr="00F90B0B" w:rsidRDefault="00866753" w:rsidP="00866753">
      <w:pPr>
        <w:tabs>
          <w:tab w:val="left" w:pos="-720"/>
        </w:tabs>
        <w:suppressAutoHyphens/>
        <w:spacing w:after="240"/>
        <w:ind w:firstLine="720"/>
        <w:jc w:val="both"/>
        <w:rPr>
          <w:sz w:val="22"/>
        </w:rPr>
      </w:pPr>
      <w:r w:rsidRPr="00F90B0B">
        <w:rPr>
          <w:sz w:val="22"/>
        </w:rPr>
        <w:t>Finance revenue was $0.6 million for the three months ended March 31, 2014 compared to $1.0 million for the three months ended March 31, 2013, a decrease of $0.4 million or 40%. This decrease was primarily the result of a reduction in the average investment in direct finance leases of $16.4 million due to normal amortization through principal payments and assets transitioned to the motor carrier model.</w:t>
      </w:r>
    </w:p>
    <w:p w:rsidR="00866753" w:rsidRDefault="00866753" w:rsidP="00866753">
      <w:pPr>
        <w:tabs>
          <w:tab w:val="left" w:pos="-720"/>
        </w:tabs>
        <w:suppressAutoHyphens/>
        <w:spacing w:after="240"/>
        <w:jc w:val="both"/>
        <w:rPr>
          <w:sz w:val="22"/>
        </w:rPr>
      </w:pPr>
      <w:r w:rsidRPr="00F90B0B">
        <w:rPr>
          <w:sz w:val="22"/>
        </w:rPr>
        <w:tab/>
        <w:t xml:space="preserve">Other revenue was $7.7 million for the three months ended March 31, 2014 compared to $9.3 million for the three months ended March 31, 2013, a decrease of $1.6 million or 17%. This decrease was primarily attributable to </w:t>
      </w:r>
      <w:r>
        <w:rPr>
          <w:sz w:val="22"/>
        </w:rPr>
        <w:t xml:space="preserve">the absence of </w:t>
      </w:r>
      <w:r w:rsidRPr="00F90B0B">
        <w:rPr>
          <w:sz w:val="22"/>
        </w:rPr>
        <w:t>$2.9 million in fees earned for arranging the sale of managed containers to a third party</w:t>
      </w:r>
      <w:r>
        <w:rPr>
          <w:sz w:val="22"/>
        </w:rPr>
        <w:t xml:space="preserve"> in 2013</w:t>
      </w:r>
      <w:r w:rsidRPr="00F90B0B">
        <w:rPr>
          <w:sz w:val="22"/>
        </w:rPr>
        <w:t>, a $0.3 million reduction in fees earned for management services and lower scrap metal proceeds in connection with the disposal of end-of-life chassis of $0.3 million. These decreases were partially offset by an increase in billings to pool customers for the repositioning of equipment of $1.8 million and an increase in repair billings of $0.2 million.</w:t>
      </w:r>
    </w:p>
    <w:p w:rsidR="00866753" w:rsidRPr="003677B0" w:rsidRDefault="00866753" w:rsidP="00866753">
      <w:pPr>
        <w:keepNext/>
        <w:keepLines/>
        <w:tabs>
          <w:tab w:val="left" w:pos="-720"/>
          <w:tab w:val="left" w:pos="720"/>
          <w:tab w:val="left" w:pos="1440"/>
        </w:tabs>
        <w:suppressAutoHyphens/>
        <w:spacing w:after="240"/>
        <w:jc w:val="both"/>
        <w:rPr>
          <w:i/>
          <w:iCs/>
          <w:sz w:val="22"/>
        </w:rPr>
      </w:pPr>
      <w:r w:rsidRPr="003677B0">
        <w:rPr>
          <w:i/>
          <w:iCs/>
          <w:sz w:val="22"/>
        </w:rPr>
        <w:t>Marine Market segment</w:t>
      </w:r>
    </w:p>
    <w:p w:rsidR="00866753" w:rsidRPr="003677B0" w:rsidRDefault="00866753" w:rsidP="00866753">
      <w:pPr>
        <w:tabs>
          <w:tab w:val="left" w:pos="-720"/>
        </w:tabs>
        <w:suppressAutoHyphens/>
        <w:spacing w:after="240"/>
        <w:ind w:firstLine="720"/>
        <w:jc w:val="both"/>
        <w:rPr>
          <w:sz w:val="22"/>
        </w:rPr>
      </w:pPr>
      <w:r w:rsidRPr="00F90B0B">
        <w:rPr>
          <w:sz w:val="22"/>
        </w:rPr>
        <w:t>Total Marine Market segment revenue was $95.9 million for the three months ended March 31, 2014 compared to $75.8 million for the three months ended March 31, 2013, an increase of $20.1 million or 27%.</w:t>
      </w:r>
    </w:p>
    <w:tbl>
      <w:tblPr>
        <w:tblW w:w="0" w:type="auto"/>
        <w:jc w:val="center"/>
        <w:tblLayout w:type="fixed"/>
        <w:tblCellMar>
          <w:left w:w="72" w:type="dxa"/>
          <w:right w:w="72" w:type="dxa"/>
        </w:tblCellMar>
        <w:tblLook w:val="0000" w:firstRow="0" w:lastRow="0" w:firstColumn="0" w:lastColumn="0" w:noHBand="0" w:noVBand="0"/>
      </w:tblPr>
      <w:tblGrid>
        <w:gridCol w:w="4304"/>
        <w:gridCol w:w="1116"/>
        <w:gridCol w:w="1116"/>
        <w:gridCol w:w="1227"/>
        <w:gridCol w:w="1116"/>
      </w:tblGrid>
      <w:tr w:rsidR="00866753" w:rsidRPr="0053635E" w:rsidTr="00FA35B5">
        <w:trPr>
          <w:cantSplit/>
          <w:jc w:val="center"/>
        </w:trPr>
        <w:tc>
          <w:tcPr>
            <w:tcW w:w="4304" w:type="dxa"/>
            <w:tcBorders>
              <w:top w:val="nil"/>
              <w:left w:val="nil"/>
              <w:bottom w:val="nil"/>
              <w:right w:val="nil"/>
            </w:tcBorders>
            <w:vAlign w:val="bottom"/>
          </w:tcPr>
          <w:p w:rsidR="00866753" w:rsidRPr="006A4F8C"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16"/>
                <w:szCs w:val="18"/>
              </w:rPr>
            </w:pPr>
          </w:p>
        </w:tc>
        <w:tc>
          <w:tcPr>
            <w:tcW w:w="4575" w:type="dxa"/>
            <w:gridSpan w:val="4"/>
            <w:tcBorders>
              <w:top w:val="nil"/>
              <w:left w:val="nil"/>
              <w:bottom w:val="nil"/>
              <w:right w:val="nil"/>
            </w:tcBorders>
            <w:vAlign w:val="bottom"/>
          </w:tcPr>
          <w:p w:rsidR="00866753" w:rsidRPr="006A4F8C"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6"/>
                <w:szCs w:val="18"/>
              </w:rPr>
            </w:pPr>
            <w:r w:rsidRPr="006A4F8C">
              <w:rPr>
                <w:b/>
                <w:bCs/>
                <w:sz w:val="16"/>
                <w:szCs w:val="18"/>
              </w:rPr>
              <w:t>Three Months Ended March 31,</w:t>
            </w:r>
          </w:p>
        </w:tc>
      </w:tr>
      <w:tr w:rsidR="00866753" w:rsidRPr="0053635E" w:rsidTr="00FA35B5">
        <w:trPr>
          <w:cantSplit/>
          <w:jc w:val="center"/>
        </w:trPr>
        <w:tc>
          <w:tcPr>
            <w:tcW w:w="4304" w:type="dxa"/>
            <w:tcBorders>
              <w:top w:val="nil"/>
              <w:left w:val="nil"/>
              <w:bottom w:val="nil"/>
              <w:right w:val="nil"/>
            </w:tcBorders>
            <w:vAlign w:val="bottom"/>
          </w:tcPr>
          <w:p w:rsidR="00866753" w:rsidRPr="006A4F8C"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18"/>
                <w:szCs w:val="18"/>
              </w:rPr>
            </w:pPr>
            <w:r w:rsidRPr="006A4F8C">
              <w:rPr>
                <w:b/>
                <w:bCs/>
                <w:sz w:val="16"/>
                <w:szCs w:val="18"/>
              </w:rPr>
              <w:t>Key Operating Statistics</w:t>
            </w:r>
          </w:p>
        </w:tc>
        <w:tc>
          <w:tcPr>
            <w:tcW w:w="1116" w:type="dxa"/>
            <w:tcBorders>
              <w:top w:val="nil"/>
              <w:left w:val="nil"/>
              <w:bottom w:val="nil"/>
              <w:right w:val="nil"/>
            </w:tcBorders>
            <w:vAlign w:val="bottom"/>
          </w:tcPr>
          <w:p w:rsidR="00866753" w:rsidRPr="006A4F8C"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6A4F8C">
              <w:rPr>
                <w:b/>
                <w:bCs/>
                <w:sz w:val="16"/>
                <w:szCs w:val="18"/>
              </w:rPr>
              <w:t>2014</w:t>
            </w:r>
          </w:p>
        </w:tc>
        <w:tc>
          <w:tcPr>
            <w:tcW w:w="1116" w:type="dxa"/>
            <w:tcBorders>
              <w:top w:val="nil"/>
              <w:left w:val="nil"/>
              <w:bottom w:val="nil"/>
              <w:right w:val="nil"/>
            </w:tcBorders>
            <w:vAlign w:val="bottom"/>
          </w:tcPr>
          <w:p w:rsidR="00866753" w:rsidRPr="006A4F8C"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6A4F8C">
              <w:rPr>
                <w:b/>
                <w:bCs/>
                <w:sz w:val="16"/>
                <w:szCs w:val="18"/>
              </w:rPr>
              <w:t>2013</w:t>
            </w:r>
          </w:p>
        </w:tc>
        <w:tc>
          <w:tcPr>
            <w:tcW w:w="1227" w:type="dxa"/>
            <w:tcBorders>
              <w:top w:val="nil"/>
              <w:left w:val="nil"/>
              <w:bottom w:val="nil"/>
              <w:right w:val="nil"/>
            </w:tcBorders>
            <w:vAlign w:val="bottom"/>
          </w:tcPr>
          <w:p w:rsidR="00866753" w:rsidRPr="006A4F8C"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6A4F8C">
              <w:rPr>
                <w:b/>
                <w:bCs/>
                <w:sz w:val="16"/>
                <w:szCs w:val="18"/>
              </w:rPr>
              <w:t>Variance</w:t>
            </w:r>
          </w:p>
        </w:tc>
        <w:tc>
          <w:tcPr>
            <w:tcW w:w="1116" w:type="dxa"/>
            <w:tcBorders>
              <w:top w:val="nil"/>
              <w:left w:val="nil"/>
              <w:bottom w:val="nil"/>
              <w:right w:val="nil"/>
            </w:tcBorders>
            <w:vAlign w:val="bottom"/>
          </w:tcPr>
          <w:p w:rsidR="00866753" w:rsidRPr="006A4F8C"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6A4F8C">
              <w:rPr>
                <w:b/>
                <w:bCs/>
                <w:sz w:val="16"/>
                <w:szCs w:val="18"/>
              </w:rPr>
              <w:t>% Change</w:t>
            </w:r>
          </w:p>
        </w:tc>
      </w:tr>
      <w:tr w:rsidR="00866753" w:rsidRPr="0053635E" w:rsidTr="00FA35B5">
        <w:trPr>
          <w:cantSplit/>
          <w:jc w:val="center"/>
        </w:trPr>
        <w:tc>
          <w:tcPr>
            <w:tcW w:w="4304" w:type="dxa"/>
            <w:tcBorders>
              <w:top w:val="nil"/>
              <w:left w:val="nil"/>
              <w:bottom w:val="nil"/>
              <w:right w:val="nil"/>
            </w:tcBorders>
          </w:tcPr>
          <w:p w:rsidR="00866753" w:rsidRPr="006A4F8C"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6A4F8C">
              <w:rPr>
                <w:b/>
                <w:bCs/>
              </w:rPr>
              <w:t>Marine Market segment</w:t>
            </w:r>
          </w:p>
        </w:tc>
        <w:tc>
          <w:tcPr>
            <w:tcW w:w="1116" w:type="dxa"/>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1116" w:type="dxa"/>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1227" w:type="dxa"/>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c>
          <w:tcPr>
            <w:tcW w:w="1116" w:type="dxa"/>
            <w:tcBorders>
              <w:top w:val="nil"/>
              <w:left w:val="nil"/>
              <w:bottom w:val="nil"/>
              <w:right w:val="nil"/>
            </w:tcBorders>
            <w:vAlign w:val="bottom"/>
          </w:tcPr>
          <w:p w:rsidR="00866753" w:rsidRPr="0053635E"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highlight w:val="yellow"/>
              </w:rPr>
            </w:pPr>
          </w:p>
        </w:tc>
      </w:tr>
      <w:tr w:rsidR="00866753" w:rsidRPr="00F90B0B" w:rsidTr="00FA35B5">
        <w:trPr>
          <w:cantSplit/>
          <w:jc w:val="center"/>
        </w:trPr>
        <w:tc>
          <w:tcPr>
            <w:tcW w:w="4304" w:type="dxa"/>
            <w:tcBorders>
              <w:top w:val="nil"/>
              <w:left w:val="nil"/>
              <w:bottom w:val="nil"/>
              <w:right w:val="nil"/>
            </w:tcBorders>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F90B0B">
              <w:rPr>
                <w:i/>
                <w:iCs/>
                <w:u w:val="single"/>
              </w:rPr>
              <w:t>Pool Statistics</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227"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4304" w:type="dxa"/>
            <w:tcBorders>
              <w:top w:val="nil"/>
              <w:left w:val="nil"/>
              <w:bottom w:val="nil"/>
              <w:right w:val="nil"/>
            </w:tcBorders>
          </w:tcPr>
          <w:p w:rsidR="00866753" w:rsidRPr="00F90B0B" w:rsidRDefault="00866753" w:rsidP="00FA35B5">
            <w:pPr>
              <w:suppressAutoHyphens/>
              <w:ind w:left="200" w:hanging="200"/>
            </w:pPr>
            <w:r w:rsidRPr="00F90B0B">
              <w:t>Per Diem Revenue</w:t>
            </w:r>
            <w:r w:rsidRPr="00F90B0B">
              <w:tab/>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80,778</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57,019</w:t>
            </w:r>
          </w:p>
        </w:tc>
        <w:tc>
          <w:tcPr>
            <w:tcW w:w="1227"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xml:space="preserve">$  </w:t>
            </w:r>
            <w:r w:rsidR="002A4FA5">
              <w:t xml:space="preserve"> </w:t>
            </w:r>
            <w:r w:rsidRPr="00F90B0B">
              <w:t xml:space="preserve">     23,759</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42</w:t>
            </w:r>
          </w:p>
        </w:tc>
      </w:tr>
      <w:tr w:rsidR="00866753" w:rsidRPr="00F90B0B" w:rsidTr="00FA35B5">
        <w:trPr>
          <w:cantSplit/>
          <w:jc w:val="center"/>
        </w:trPr>
        <w:tc>
          <w:tcPr>
            <w:tcW w:w="4304" w:type="dxa"/>
            <w:tcBorders>
              <w:top w:val="nil"/>
              <w:left w:val="nil"/>
              <w:bottom w:val="nil"/>
              <w:right w:val="nil"/>
            </w:tcBorders>
          </w:tcPr>
          <w:p w:rsidR="00866753" w:rsidRPr="00F90B0B" w:rsidRDefault="00866753" w:rsidP="00FA35B5">
            <w:pPr>
              <w:suppressAutoHyphens/>
              <w:ind w:left="200" w:hanging="200"/>
            </w:pPr>
            <w:r w:rsidRPr="00F90B0B">
              <w:t>Average Total Fleet</w:t>
            </w:r>
            <w:r w:rsidRPr="00F90B0B">
              <w:tab/>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132,103</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98,180</w:t>
            </w:r>
          </w:p>
        </w:tc>
        <w:tc>
          <w:tcPr>
            <w:tcW w:w="1227"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33,923</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35</w:t>
            </w:r>
          </w:p>
        </w:tc>
      </w:tr>
      <w:tr w:rsidR="00866753" w:rsidRPr="00F90B0B" w:rsidTr="00FA35B5">
        <w:trPr>
          <w:cantSplit/>
          <w:jc w:val="center"/>
        </w:trPr>
        <w:tc>
          <w:tcPr>
            <w:tcW w:w="4304" w:type="dxa"/>
            <w:tcBorders>
              <w:top w:val="nil"/>
              <w:left w:val="nil"/>
              <w:bottom w:val="nil"/>
              <w:right w:val="nil"/>
            </w:tcBorders>
          </w:tcPr>
          <w:p w:rsidR="00866753" w:rsidRPr="00F90B0B" w:rsidRDefault="00866753" w:rsidP="00FA35B5">
            <w:pPr>
              <w:suppressAutoHyphens/>
              <w:ind w:left="200" w:hanging="200"/>
            </w:pPr>
            <w:r w:rsidRPr="00F90B0B">
              <w:t>Average Daily Revenue per Chassis</w:t>
            </w:r>
            <w:r w:rsidRPr="00F90B0B">
              <w:tab/>
            </w:r>
          </w:p>
        </w:tc>
        <w:tc>
          <w:tcPr>
            <w:tcW w:w="1116" w:type="dxa"/>
            <w:tcBorders>
              <w:top w:val="nil"/>
              <w:left w:val="nil"/>
              <w:bottom w:val="nil"/>
              <w:right w:val="nil"/>
            </w:tcBorders>
            <w:vAlign w:val="bottom"/>
          </w:tcPr>
          <w:p w:rsidR="00866753" w:rsidRPr="00F90B0B" w:rsidRDefault="00866753" w:rsidP="002A4FA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xml:space="preserve">$  </w:t>
            </w:r>
            <w:r w:rsidR="002A4FA5">
              <w:t xml:space="preserve"> </w:t>
            </w:r>
            <w:r w:rsidRPr="00F90B0B">
              <w:t xml:space="preserve">       6.79</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6.45</w:t>
            </w:r>
          </w:p>
        </w:tc>
        <w:tc>
          <w:tcPr>
            <w:tcW w:w="1227"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xml:space="preserve">$   </w:t>
            </w:r>
            <w:r w:rsidR="002A4FA5">
              <w:t xml:space="preserve"> </w:t>
            </w:r>
            <w:r w:rsidRPr="00F90B0B">
              <w:t xml:space="preserve">        0.34</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5</w:t>
            </w:r>
          </w:p>
        </w:tc>
      </w:tr>
      <w:tr w:rsidR="00866753" w:rsidRPr="00F90B0B" w:rsidTr="00FA35B5">
        <w:trPr>
          <w:cantSplit/>
          <w:jc w:val="center"/>
        </w:trPr>
        <w:tc>
          <w:tcPr>
            <w:tcW w:w="4304" w:type="dxa"/>
            <w:tcBorders>
              <w:top w:val="nil"/>
              <w:left w:val="nil"/>
              <w:bottom w:val="nil"/>
              <w:right w:val="nil"/>
            </w:tcBorders>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F90B0B">
              <w:rPr>
                <w:i/>
                <w:iCs/>
                <w:u w:val="single"/>
              </w:rPr>
              <w:t>Term Lease Statistics</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227"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4304" w:type="dxa"/>
            <w:tcBorders>
              <w:top w:val="nil"/>
              <w:left w:val="nil"/>
              <w:bottom w:val="nil"/>
              <w:right w:val="nil"/>
            </w:tcBorders>
          </w:tcPr>
          <w:p w:rsidR="00866753" w:rsidRPr="00F90B0B" w:rsidRDefault="00866753" w:rsidP="00FA35B5">
            <w:pPr>
              <w:suppressAutoHyphens/>
              <w:ind w:left="200" w:hanging="200"/>
            </w:pPr>
            <w:r w:rsidRPr="00F90B0B">
              <w:t>Per Diem Revenue</w:t>
            </w:r>
            <w:r w:rsidRPr="00F90B0B">
              <w:tab/>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10,149</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14,593</w:t>
            </w:r>
          </w:p>
        </w:tc>
        <w:tc>
          <w:tcPr>
            <w:tcW w:w="1227" w:type="dxa"/>
            <w:tcBorders>
              <w:top w:val="nil"/>
              <w:left w:val="nil"/>
              <w:bottom w:val="nil"/>
              <w:right w:val="nil"/>
            </w:tcBorders>
            <w:vAlign w:val="bottom"/>
          </w:tcPr>
          <w:p w:rsidR="00866753" w:rsidRPr="00F90B0B" w:rsidRDefault="00866753" w:rsidP="002A4FA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xml:space="preserve">$  </w:t>
            </w:r>
            <w:r w:rsidR="002A4FA5">
              <w:t xml:space="preserve"> </w:t>
            </w:r>
            <w:r w:rsidRPr="00F90B0B">
              <w:t xml:space="preserve">    (4,444)</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(30)</w:t>
            </w:r>
          </w:p>
        </w:tc>
      </w:tr>
      <w:tr w:rsidR="00866753" w:rsidRPr="00F90B0B" w:rsidTr="00FA35B5">
        <w:trPr>
          <w:cantSplit/>
          <w:jc w:val="center"/>
        </w:trPr>
        <w:tc>
          <w:tcPr>
            <w:tcW w:w="4304" w:type="dxa"/>
            <w:tcBorders>
              <w:top w:val="nil"/>
              <w:left w:val="nil"/>
              <w:bottom w:val="nil"/>
              <w:right w:val="nil"/>
            </w:tcBorders>
          </w:tcPr>
          <w:p w:rsidR="00866753" w:rsidRPr="00F90B0B" w:rsidRDefault="00866753" w:rsidP="00FA35B5">
            <w:pPr>
              <w:suppressAutoHyphens/>
              <w:ind w:left="200" w:hanging="200"/>
            </w:pPr>
            <w:r w:rsidRPr="00F90B0B">
              <w:t>Average Total Fleet</w:t>
            </w:r>
            <w:r w:rsidRPr="00F90B0B">
              <w:tab/>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43,277</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65,382</w:t>
            </w:r>
          </w:p>
        </w:tc>
        <w:tc>
          <w:tcPr>
            <w:tcW w:w="1227"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(22,105)</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(34)</w:t>
            </w:r>
          </w:p>
        </w:tc>
      </w:tr>
      <w:tr w:rsidR="00866753" w:rsidRPr="0053635E" w:rsidTr="00FA35B5">
        <w:trPr>
          <w:cantSplit/>
          <w:jc w:val="center"/>
        </w:trPr>
        <w:tc>
          <w:tcPr>
            <w:tcW w:w="4304" w:type="dxa"/>
            <w:tcBorders>
              <w:top w:val="nil"/>
              <w:left w:val="nil"/>
              <w:bottom w:val="nil"/>
              <w:right w:val="nil"/>
            </w:tcBorders>
          </w:tcPr>
          <w:p w:rsidR="00866753" w:rsidRPr="00F90B0B" w:rsidRDefault="00866753" w:rsidP="00FA35B5">
            <w:pPr>
              <w:suppressAutoHyphens/>
              <w:ind w:left="200" w:hanging="200"/>
            </w:pPr>
            <w:r w:rsidRPr="00F90B0B">
              <w:t>Average Daily Revenue per Chassis</w:t>
            </w:r>
            <w:r w:rsidRPr="00F90B0B">
              <w:tab/>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2.61</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2.48</w:t>
            </w:r>
          </w:p>
        </w:tc>
        <w:tc>
          <w:tcPr>
            <w:tcW w:w="1227" w:type="dxa"/>
            <w:tcBorders>
              <w:top w:val="nil"/>
              <w:left w:val="nil"/>
              <w:bottom w:val="nil"/>
              <w:right w:val="nil"/>
            </w:tcBorders>
            <w:vAlign w:val="bottom"/>
          </w:tcPr>
          <w:p w:rsidR="00866753" w:rsidRPr="00F90B0B" w:rsidRDefault="00866753" w:rsidP="002A4FA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xml:space="preserve">$  </w:t>
            </w:r>
            <w:r w:rsidR="002A4FA5">
              <w:t xml:space="preserve"> </w:t>
            </w:r>
            <w:r w:rsidRPr="00F90B0B">
              <w:t xml:space="preserve">         0.13</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5</w:t>
            </w:r>
          </w:p>
        </w:tc>
      </w:tr>
    </w:tbl>
    <w:p w:rsidR="00866753" w:rsidRPr="006C7852" w:rsidRDefault="00866753" w:rsidP="00866753">
      <w:pPr>
        <w:tabs>
          <w:tab w:val="left" w:pos="-720"/>
        </w:tabs>
        <w:suppressAutoHyphens/>
        <w:spacing w:before="240" w:after="240"/>
        <w:jc w:val="both"/>
        <w:rPr>
          <w:i/>
          <w:iCs/>
        </w:rPr>
      </w:pPr>
      <w:r w:rsidRPr="006C7852">
        <w:rPr>
          <w:i/>
          <w:iCs/>
        </w:rPr>
        <w:t>Per Diem Revenue represents revenues billed under operating leases and excludes amounts billed to lessees for maintenance and repair, positioning and handling, and other ancillary charges.</w:t>
      </w:r>
    </w:p>
    <w:p w:rsidR="00866753" w:rsidRPr="006C7852" w:rsidRDefault="00866753" w:rsidP="00866753">
      <w:pPr>
        <w:tabs>
          <w:tab w:val="left" w:pos="-720"/>
        </w:tabs>
        <w:suppressAutoHyphens/>
        <w:spacing w:after="240"/>
        <w:jc w:val="both"/>
        <w:rPr>
          <w:i/>
          <w:iCs/>
        </w:rPr>
      </w:pPr>
      <w:r w:rsidRPr="006C7852">
        <w:rPr>
          <w:i/>
          <w:iCs/>
        </w:rPr>
        <w:t>Average Total Fleet is based upon the total fleet at each month end.</w:t>
      </w:r>
    </w:p>
    <w:p w:rsidR="009F28DE" w:rsidRDefault="009F28DE" w:rsidP="00866753">
      <w:pPr>
        <w:tabs>
          <w:tab w:val="left" w:pos="-720"/>
        </w:tabs>
        <w:suppressAutoHyphens/>
        <w:spacing w:after="240"/>
        <w:ind w:firstLine="720"/>
        <w:jc w:val="both"/>
        <w:rPr>
          <w:sz w:val="22"/>
        </w:rPr>
      </w:pPr>
    </w:p>
    <w:p w:rsidR="00866753" w:rsidRPr="00F90B0B" w:rsidRDefault="00866753" w:rsidP="00866753">
      <w:pPr>
        <w:tabs>
          <w:tab w:val="left" w:pos="-720"/>
        </w:tabs>
        <w:suppressAutoHyphens/>
        <w:spacing w:after="240"/>
        <w:ind w:firstLine="720"/>
        <w:jc w:val="both"/>
        <w:rPr>
          <w:sz w:val="22"/>
        </w:rPr>
      </w:pPr>
      <w:r w:rsidRPr="00F90B0B">
        <w:rPr>
          <w:sz w:val="22"/>
        </w:rPr>
        <w:lastRenderedPageBreak/>
        <w:t>Equipment leasing revenue was $90.9 million for the three months ended March 31, 2014 compared to $71.6 million for the three months ended March 31</w:t>
      </w:r>
      <w:r w:rsidR="00D46A9B">
        <w:rPr>
          <w:sz w:val="22"/>
        </w:rPr>
        <w:t>,</w:t>
      </w:r>
      <w:r w:rsidRPr="00F90B0B">
        <w:rPr>
          <w:sz w:val="22"/>
        </w:rPr>
        <w:t xml:space="preserve"> 2013, an increase of $19.3 million or 27%. Marine pool per diem revenues increased $23.8 million or 42% due to a 35% increase in the average number of chassis in our marine pools and a 5% increase in the average per diem rate. The increased number of chassis in our marine pools is due to the Company’s purchase of 22,376 chassis from our shipping line customers from April 1, 2013 through March 31, 2014 as well as a shift of 19,769 term lease units from our term lease product toward our pools</w:t>
      </w:r>
      <w:r w:rsidR="0076116A">
        <w:rPr>
          <w:sz w:val="22"/>
        </w:rPr>
        <w:t>, over the same period,</w:t>
      </w:r>
      <w:r>
        <w:rPr>
          <w:sz w:val="22"/>
        </w:rPr>
        <w:t xml:space="preserve"> </w:t>
      </w:r>
      <w:r w:rsidRPr="00186CCB">
        <w:rPr>
          <w:sz w:val="22"/>
        </w:rPr>
        <w:t>as our shipping line customers transition to the motor carrier model</w:t>
      </w:r>
      <w:r w:rsidR="0076116A">
        <w:rPr>
          <w:sz w:val="22"/>
        </w:rPr>
        <w:t>.</w:t>
      </w:r>
      <w:r w:rsidRPr="00186CCB">
        <w:rPr>
          <w:sz w:val="22"/>
        </w:rPr>
        <w:t xml:space="preserve"> </w:t>
      </w:r>
      <w:r w:rsidR="00E15874">
        <w:rPr>
          <w:sz w:val="22"/>
        </w:rPr>
        <w:t xml:space="preserve"> </w:t>
      </w:r>
      <w:r w:rsidRPr="00186CCB">
        <w:rPr>
          <w:sz w:val="22"/>
        </w:rPr>
        <w:t xml:space="preserve">The increase in the average per diem rates in the marine pools is primarily due to a favorable mix </w:t>
      </w:r>
      <w:r>
        <w:rPr>
          <w:sz w:val="22"/>
        </w:rPr>
        <w:t xml:space="preserve">of </w:t>
      </w:r>
      <w:r w:rsidRPr="00186CCB">
        <w:rPr>
          <w:sz w:val="22"/>
        </w:rPr>
        <w:t>higher per diem</w:t>
      </w:r>
      <w:r>
        <w:rPr>
          <w:sz w:val="22"/>
        </w:rPr>
        <w:t xml:space="preserve"> rates</w:t>
      </w:r>
      <w:r w:rsidRPr="00186CCB">
        <w:rPr>
          <w:sz w:val="22"/>
        </w:rPr>
        <w:t xml:space="preserve"> billed to motor carriers and negotiated per diem rate increases to shipping line customers, partially offset by the dilutive effect of a significant number of newly introduced chassis added to our marine pools since April 1, 2013 without a proportional increase in billable usage. Marine pool per diem revenues attributable to motor</w:t>
      </w:r>
      <w:r w:rsidRPr="00F90B0B">
        <w:rPr>
          <w:sz w:val="22"/>
        </w:rPr>
        <w:t xml:space="preserve"> carriers rose to 46% of total marine pool </w:t>
      </w:r>
      <w:r w:rsidR="0076116A">
        <w:rPr>
          <w:sz w:val="22"/>
        </w:rPr>
        <w:t xml:space="preserve">per diem </w:t>
      </w:r>
      <w:r w:rsidRPr="00F90B0B">
        <w:rPr>
          <w:sz w:val="22"/>
        </w:rPr>
        <w:t>revenue in the first quarter of 2014 from 35% in the first quarter of 2013. Marine term lease revenues decreased $4.4 million or 30% due to a 34% decrease in the average number of chassis on-hire, the vast majority of which represented transfers to the marine pool. This decrease was partially offset by a 5% increase in the average per diem rates</w:t>
      </w:r>
      <w:r>
        <w:rPr>
          <w:sz w:val="22"/>
        </w:rPr>
        <w:t>.</w:t>
      </w:r>
    </w:p>
    <w:p w:rsidR="00866753" w:rsidRPr="00F90B0B" w:rsidRDefault="00866753" w:rsidP="00866753">
      <w:pPr>
        <w:tabs>
          <w:tab w:val="left" w:pos="-720"/>
        </w:tabs>
        <w:suppressAutoHyphens/>
        <w:spacing w:after="240"/>
        <w:ind w:firstLine="720"/>
        <w:jc w:val="both"/>
        <w:rPr>
          <w:sz w:val="22"/>
        </w:rPr>
      </w:pPr>
      <w:r w:rsidRPr="00F90B0B">
        <w:rPr>
          <w:sz w:val="22"/>
        </w:rPr>
        <w:t>Finance revenue was $0.6 million for the three months ended March 31, 2014 compared to $1.0 million for the three months ended March 31, 2013, a decrease of $0.4 million or 40%. This decrease was primarily the result of a reduction in the average investment in direct finance leases of $16.4 million due to normal amortization through principal payments and assets transitioned to the motor carrier model.</w:t>
      </w:r>
    </w:p>
    <w:p w:rsidR="00866753" w:rsidRPr="00F90B0B" w:rsidRDefault="00866753" w:rsidP="00866753">
      <w:pPr>
        <w:tabs>
          <w:tab w:val="left" w:pos="-720"/>
        </w:tabs>
        <w:suppressAutoHyphens/>
        <w:spacing w:after="240"/>
        <w:ind w:firstLine="720"/>
        <w:jc w:val="both"/>
        <w:rPr>
          <w:sz w:val="22"/>
        </w:rPr>
      </w:pPr>
      <w:r w:rsidRPr="00F90B0B">
        <w:rPr>
          <w:sz w:val="22"/>
        </w:rPr>
        <w:t>Other revenue was $4.4 million for the three months ended March 31, 2014 compared to $3.2 million for the three months ended March 31, 2013, an increase of $1.2 million or 38%. This increase was primarily attributable to increases in billings to rebalance our pools of $1.0 million and repair billings to customers for damage incurred while the chassis was on lease of $0.2 million.</w:t>
      </w:r>
    </w:p>
    <w:p w:rsidR="00866753" w:rsidRPr="00E65889" w:rsidRDefault="00866753" w:rsidP="00866753">
      <w:pPr>
        <w:keepNext/>
        <w:keepLines/>
        <w:tabs>
          <w:tab w:val="left" w:pos="-720"/>
          <w:tab w:val="left" w:pos="720"/>
          <w:tab w:val="left" w:pos="1440"/>
        </w:tabs>
        <w:suppressAutoHyphens/>
        <w:spacing w:after="240"/>
        <w:jc w:val="both"/>
        <w:rPr>
          <w:i/>
          <w:iCs/>
          <w:sz w:val="22"/>
        </w:rPr>
      </w:pPr>
      <w:r w:rsidRPr="00E65889">
        <w:rPr>
          <w:i/>
          <w:iCs/>
          <w:sz w:val="22"/>
        </w:rPr>
        <w:t>Domestic Market segment</w:t>
      </w:r>
    </w:p>
    <w:p w:rsidR="00866753" w:rsidRPr="00F90B0B" w:rsidRDefault="00866753" w:rsidP="00866753">
      <w:pPr>
        <w:tabs>
          <w:tab w:val="left" w:pos="-720"/>
        </w:tabs>
        <w:suppressAutoHyphens/>
        <w:spacing w:after="240"/>
        <w:ind w:firstLine="720"/>
        <w:jc w:val="both"/>
        <w:rPr>
          <w:sz w:val="22"/>
        </w:rPr>
      </w:pPr>
      <w:r w:rsidRPr="00F90B0B">
        <w:rPr>
          <w:sz w:val="22"/>
        </w:rPr>
        <w:t>Total Domestic Market segment revenue was $42.8 million for the three months ended March 31, 2014 compared to $37.3 million for the three months ended March 31, 2013, an increase of $5.5 million or 15%.</w:t>
      </w:r>
    </w:p>
    <w:tbl>
      <w:tblPr>
        <w:tblW w:w="0" w:type="auto"/>
        <w:jc w:val="center"/>
        <w:tblLayout w:type="fixed"/>
        <w:tblCellMar>
          <w:left w:w="72" w:type="dxa"/>
          <w:right w:w="72" w:type="dxa"/>
        </w:tblCellMar>
        <w:tblLook w:val="0000" w:firstRow="0" w:lastRow="0" w:firstColumn="0" w:lastColumn="0" w:noHBand="0" w:noVBand="0"/>
      </w:tblPr>
      <w:tblGrid>
        <w:gridCol w:w="4527"/>
        <w:gridCol w:w="1004"/>
        <w:gridCol w:w="1116"/>
        <w:gridCol w:w="1116"/>
        <w:gridCol w:w="1116"/>
      </w:tblGrid>
      <w:tr w:rsidR="00866753" w:rsidRPr="00F90B0B" w:rsidTr="00FA35B5">
        <w:trPr>
          <w:cantSplit/>
          <w:jc w:val="center"/>
        </w:trPr>
        <w:tc>
          <w:tcPr>
            <w:tcW w:w="4527"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p>
        </w:tc>
        <w:tc>
          <w:tcPr>
            <w:tcW w:w="1" w:type="dxa"/>
            <w:gridSpan w:val="4"/>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F90B0B">
              <w:rPr>
                <w:b/>
                <w:bCs/>
                <w:sz w:val="16"/>
                <w:szCs w:val="18"/>
              </w:rPr>
              <w:t>Three Months Ended March 31,</w:t>
            </w:r>
          </w:p>
        </w:tc>
      </w:tr>
      <w:tr w:rsidR="00866753" w:rsidRPr="00F90B0B" w:rsidTr="00FA35B5">
        <w:trPr>
          <w:cantSplit/>
          <w:jc w:val="center"/>
        </w:trPr>
        <w:tc>
          <w:tcPr>
            <w:tcW w:w="4527" w:type="dxa"/>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18"/>
                <w:szCs w:val="18"/>
              </w:rPr>
            </w:pPr>
            <w:r w:rsidRPr="00F90B0B">
              <w:rPr>
                <w:b/>
                <w:bCs/>
                <w:sz w:val="16"/>
                <w:szCs w:val="18"/>
              </w:rPr>
              <w:t>Key Operating Statistics</w:t>
            </w:r>
          </w:p>
        </w:tc>
        <w:tc>
          <w:tcPr>
            <w:tcW w:w="1004" w:type="dxa"/>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F90B0B">
              <w:rPr>
                <w:b/>
                <w:bCs/>
                <w:sz w:val="16"/>
                <w:szCs w:val="18"/>
              </w:rPr>
              <w:t>2014</w:t>
            </w:r>
          </w:p>
        </w:tc>
        <w:tc>
          <w:tcPr>
            <w:tcW w:w="1116" w:type="dxa"/>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F90B0B">
              <w:rPr>
                <w:b/>
                <w:bCs/>
                <w:sz w:val="16"/>
                <w:szCs w:val="18"/>
              </w:rPr>
              <w:t>2013</w:t>
            </w:r>
          </w:p>
        </w:tc>
        <w:tc>
          <w:tcPr>
            <w:tcW w:w="1116" w:type="dxa"/>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F90B0B">
              <w:rPr>
                <w:b/>
                <w:bCs/>
                <w:sz w:val="16"/>
                <w:szCs w:val="18"/>
              </w:rPr>
              <w:t>Variance</w:t>
            </w:r>
          </w:p>
        </w:tc>
        <w:tc>
          <w:tcPr>
            <w:tcW w:w="1116" w:type="dxa"/>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F90B0B">
              <w:rPr>
                <w:b/>
                <w:bCs/>
                <w:sz w:val="16"/>
                <w:szCs w:val="18"/>
              </w:rPr>
              <w:t>% Change</w:t>
            </w:r>
          </w:p>
        </w:tc>
      </w:tr>
      <w:tr w:rsidR="00866753" w:rsidRPr="00F90B0B" w:rsidTr="00FA35B5">
        <w:trPr>
          <w:cantSplit/>
          <w:jc w:val="center"/>
        </w:trPr>
        <w:tc>
          <w:tcPr>
            <w:tcW w:w="4527" w:type="dxa"/>
            <w:tcBorders>
              <w:top w:val="nil"/>
              <w:left w:val="nil"/>
              <w:bottom w:val="nil"/>
              <w:right w:val="nil"/>
            </w:tcBorders>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F90B0B">
              <w:rPr>
                <w:b/>
                <w:bCs/>
              </w:rPr>
              <w:t>Domestic Market segment</w:t>
            </w:r>
          </w:p>
        </w:tc>
        <w:tc>
          <w:tcPr>
            <w:tcW w:w="1004"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4527" w:type="dxa"/>
            <w:tcBorders>
              <w:top w:val="nil"/>
              <w:left w:val="nil"/>
              <w:bottom w:val="nil"/>
              <w:right w:val="nil"/>
            </w:tcBorders>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F90B0B">
              <w:rPr>
                <w:i/>
                <w:iCs/>
                <w:u w:val="single"/>
              </w:rPr>
              <w:t>Pool Statistics</w:t>
            </w:r>
          </w:p>
        </w:tc>
        <w:tc>
          <w:tcPr>
            <w:tcW w:w="1004"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4527" w:type="dxa"/>
            <w:tcBorders>
              <w:top w:val="nil"/>
              <w:left w:val="nil"/>
              <w:bottom w:val="nil"/>
              <w:right w:val="nil"/>
            </w:tcBorders>
          </w:tcPr>
          <w:p w:rsidR="00866753" w:rsidRPr="00F90B0B" w:rsidRDefault="00866753" w:rsidP="00FA35B5">
            <w:pPr>
              <w:suppressAutoHyphens/>
              <w:ind w:left="200" w:hanging="200"/>
            </w:pPr>
            <w:r w:rsidRPr="00F90B0B">
              <w:t>Per Diem Revenue</w:t>
            </w:r>
            <w:r w:rsidRPr="00F90B0B">
              <w:tab/>
            </w:r>
          </w:p>
        </w:tc>
        <w:tc>
          <w:tcPr>
            <w:tcW w:w="1004"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xml:space="preserve">$ </w:t>
            </w:r>
            <w:r w:rsidR="003F0296">
              <w:t xml:space="preserve"> </w:t>
            </w:r>
            <w:r w:rsidRPr="00F90B0B">
              <w:t xml:space="preserve">  35,288</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31,412</w:t>
            </w:r>
          </w:p>
        </w:tc>
        <w:tc>
          <w:tcPr>
            <w:tcW w:w="1116" w:type="dxa"/>
            <w:tcBorders>
              <w:top w:val="nil"/>
              <w:left w:val="nil"/>
              <w:bottom w:val="nil"/>
              <w:right w:val="nil"/>
            </w:tcBorders>
            <w:vAlign w:val="bottom"/>
          </w:tcPr>
          <w:p w:rsidR="00866753" w:rsidRPr="00F90B0B" w:rsidRDefault="00866753" w:rsidP="003F0296">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xml:space="preserve">$  </w:t>
            </w:r>
            <w:r w:rsidR="003F0296">
              <w:t xml:space="preserve">   </w:t>
            </w:r>
            <w:r w:rsidRPr="00F90B0B">
              <w:t xml:space="preserve">   3,876</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12</w:t>
            </w:r>
          </w:p>
        </w:tc>
      </w:tr>
      <w:tr w:rsidR="00866753" w:rsidRPr="00F90B0B" w:rsidTr="00FA35B5">
        <w:trPr>
          <w:cantSplit/>
          <w:jc w:val="center"/>
        </w:trPr>
        <w:tc>
          <w:tcPr>
            <w:tcW w:w="4527" w:type="dxa"/>
            <w:tcBorders>
              <w:top w:val="nil"/>
              <w:left w:val="nil"/>
              <w:bottom w:val="nil"/>
              <w:right w:val="nil"/>
            </w:tcBorders>
          </w:tcPr>
          <w:p w:rsidR="00866753" w:rsidRPr="00F90B0B" w:rsidRDefault="00866753" w:rsidP="00FA35B5">
            <w:pPr>
              <w:suppressAutoHyphens/>
              <w:ind w:left="200" w:hanging="200"/>
            </w:pPr>
            <w:r w:rsidRPr="00F90B0B">
              <w:t>Average Total Fleet</w:t>
            </w:r>
            <w:r w:rsidRPr="00F90B0B">
              <w:tab/>
            </w:r>
          </w:p>
        </w:tc>
        <w:tc>
          <w:tcPr>
            <w:tcW w:w="1004"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60,290</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59,779</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511</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w:t>
            </w:r>
          </w:p>
        </w:tc>
      </w:tr>
      <w:tr w:rsidR="00866753" w:rsidRPr="00F90B0B" w:rsidTr="00FA35B5">
        <w:trPr>
          <w:cantSplit/>
          <w:jc w:val="center"/>
        </w:trPr>
        <w:tc>
          <w:tcPr>
            <w:tcW w:w="4527" w:type="dxa"/>
            <w:tcBorders>
              <w:top w:val="nil"/>
              <w:left w:val="nil"/>
              <w:bottom w:val="nil"/>
              <w:right w:val="nil"/>
            </w:tcBorders>
          </w:tcPr>
          <w:p w:rsidR="00866753" w:rsidRPr="00F90B0B" w:rsidRDefault="00866753" w:rsidP="00FA35B5">
            <w:pPr>
              <w:suppressAutoHyphens/>
              <w:ind w:left="200" w:hanging="200"/>
            </w:pPr>
            <w:r w:rsidRPr="00F90B0B">
              <w:t>Average Daily Revenue per Chassis</w:t>
            </w:r>
            <w:r w:rsidRPr="00F90B0B">
              <w:tab/>
            </w:r>
          </w:p>
        </w:tc>
        <w:tc>
          <w:tcPr>
            <w:tcW w:w="1004" w:type="dxa"/>
            <w:tcBorders>
              <w:top w:val="nil"/>
              <w:left w:val="nil"/>
              <w:bottom w:val="nil"/>
              <w:right w:val="nil"/>
            </w:tcBorders>
            <w:vAlign w:val="bottom"/>
          </w:tcPr>
          <w:p w:rsidR="00866753" w:rsidRPr="00F90B0B" w:rsidRDefault="00866753" w:rsidP="003F0296">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w:t>
            </w:r>
            <w:r w:rsidR="003F0296">
              <w:t xml:space="preserve"> </w:t>
            </w:r>
            <w:r w:rsidRPr="00F90B0B">
              <w:t xml:space="preserve">       6.50</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5.84</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xml:space="preserve">$ </w:t>
            </w:r>
            <w:r w:rsidR="003F0296">
              <w:t xml:space="preserve">  </w:t>
            </w:r>
            <w:r w:rsidRPr="00F90B0B">
              <w:t xml:space="preserve">       0.66</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11</w:t>
            </w:r>
          </w:p>
        </w:tc>
      </w:tr>
      <w:tr w:rsidR="00866753" w:rsidRPr="00F90B0B" w:rsidTr="00FA35B5">
        <w:trPr>
          <w:cantSplit/>
          <w:jc w:val="center"/>
        </w:trPr>
        <w:tc>
          <w:tcPr>
            <w:tcW w:w="4527" w:type="dxa"/>
            <w:tcBorders>
              <w:top w:val="nil"/>
              <w:left w:val="nil"/>
              <w:bottom w:val="nil"/>
              <w:right w:val="nil"/>
            </w:tcBorders>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F90B0B">
              <w:rPr>
                <w:i/>
                <w:iCs/>
                <w:u w:val="single"/>
              </w:rPr>
              <w:t>Term Lease Statistics</w:t>
            </w:r>
          </w:p>
        </w:tc>
        <w:tc>
          <w:tcPr>
            <w:tcW w:w="1004"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4527" w:type="dxa"/>
            <w:tcBorders>
              <w:top w:val="nil"/>
              <w:left w:val="nil"/>
              <w:bottom w:val="nil"/>
              <w:right w:val="nil"/>
            </w:tcBorders>
          </w:tcPr>
          <w:p w:rsidR="00866753" w:rsidRPr="00F90B0B" w:rsidRDefault="00866753" w:rsidP="00FA35B5">
            <w:pPr>
              <w:suppressAutoHyphens/>
              <w:ind w:left="200" w:hanging="200"/>
            </w:pPr>
            <w:r w:rsidRPr="00F90B0B">
              <w:t>Per Diem Revenue</w:t>
            </w:r>
            <w:r w:rsidRPr="00F90B0B">
              <w:tab/>
            </w:r>
          </w:p>
        </w:tc>
        <w:tc>
          <w:tcPr>
            <w:tcW w:w="1004"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5,154</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4,523</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xml:space="preserve">$    </w:t>
            </w:r>
            <w:r w:rsidR="003F0296">
              <w:t xml:space="preserve">  </w:t>
            </w:r>
            <w:r w:rsidRPr="00F90B0B">
              <w:t xml:space="preserve">     631</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14</w:t>
            </w:r>
          </w:p>
        </w:tc>
      </w:tr>
      <w:tr w:rsidR="00866753" w:rsidRPr="00F90B0B" w:rsidTr="00FA35B5">
        <w:trPr>
          <w:cantSplit/>
          <w:jc w:val="center"/>
        </w:trPr>
        <w:tc>
          <w:tcPr>
            <w:tcW w:w="4527" w:type="dxa"/>
            <w:tcBorders>
              <w:top w:val="nil"/>
              <w:left w:val="nil"/>
              <w:bottom w:val="nil"/>
              <w:right w:val="nil"/>
            </w:tcBorders>
          </w:tcPr>
          <w:p w:rsidR="00866753" w:rsidRPr="00F90B0B" w:rsidRDefault="00866753" w:rsidP="00FA35B5">
            <w:pPr>
              <w:suppressAutoHyphens/>
              <w:ind w:left="200" w:hanging="200"/>
            </w:pPr>
            <w:r w:rsidRPr="00F90B0B">
              <w:t>Average Total Fleet</w:t>
            </w:r>
            <w:r w:rsidRPr="00F90B0B">
              <w:tab/>
            </w:r>
          </w:p>
        </w:tc>
        <w:tc>
          <w:tcPr>
            <w:tcW w:w="1004"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12,849</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14,285</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(1,436)</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(10)</w:t>
            </w:r>
          </w:p>
        </w:tc>
      </w:tr>
      <w:tr w:rsidR="00866753" w:rsidRPr="0053635E" w:rsidTr="00FA35B5">
        <w:trPr>
          <w:cantSplit/>
          <w:jc w:val="center"/>
        </w:trPr>
        <w:tc>
          <w:tcPr>
            <w:tcW w:w="4527" w:type="dxa"/>
            <w:tcBorders>
              <w:top w:val="nil"/>
              <w:left w:val="nil"/>
              <w:bottom w:val="nil"/>
              <w:right w:val="nil"/>
            </w:tcBorders>
          </w:tcPr>
          <w:p w:rsidR="00866753" w:rsidRPr="00F90B0B" w:rsidRDefault="00866753" w:rsidP="00FA35B5">
            <w:pPr>
              <w:suppressAutoHyphens/>
              <w:ind w:left="200" w:hanging="200"/>
            </w:pPr>
            <w:r w:rsidRPr="00F90B0B">
              <w:t>Average Daily Revenue per Chassis</w:t>
            </w:r>
            <w:r w:rsidR="00003D7A">
              <w:t xml:space="preserve"> (*excluding early termination revenue)</w:t>
            </w:r>
            <w:r w:rsidRPr="00F90B0B">
              <w:tab/>
            </w:r>
          </w:p>
        </w:tc>
        <w:tc>
          <w:tcPr>
            <w:tcW w:w="1004" w:type="dxa"/>
            <w:tcBorders>
              <w:top w:val="nil"/>
              <w:left w:val="nil"/>
              <w:bottom w:val="nil"/>
              <w:right w:val="nil"/>
            </w:tcBorders>
            <w:vAlign w:val="bottom"/>
          </w:tcPr>
          <w:p w:rsidR="00866753" w:rsidRPr="00F90B0B" w:rsidRDefault="00866753" w:rsidP="00003D7A">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w:t>
            </w:r>
            <w:r w:rsidR="003F0296">
              <w:t xml:space="preserve">     </w:t>
            </w:r>
            <w:r w:rsidRPr="00F90B0B">
              <w:t xml:space="preserve"> </w:t>
            </w:r>
            <w:r w:rsidR="00003D7A">
              <w:t>3.49*</w:t>
            </w:r>
          </w:p>
        </w:tc>
        <w:tc>
          <w:tcPr>
            <w:tcW w:w="1116" w:type="dxa"/>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3.52</w:t>
            </w:r>
          </w:p>
        </w:tc>
        <w:tc>
          <w:tcPr>
            <w:tcW w:w="1116" w:type="dxa"/>
            <w:tcBorders>
              <w:top w:val="nil"/>
              <w:left w:val="nil"/>
              <w:bottom w:val="nil"/>
              <w:right w:val="nil"/>
            </w:tcBorders>
            <w:vAlign w:val="bottom"/>
          </w:tcPr>
          <w:p w:rsidR="00866753" w:rsidRPr="00F90B0B" w:rsidRDefault="00866753" w:rsidP="00B57AF4">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xml:space="preserve">$  </w:t>
            </w:r>
            <w:r w:rsidR="003F0296">
              <w:t xml:space="preserve"> </w:t>
            </w:r>
            <w:r w:rsidR="00B57AF4">
              <w:t xml:space="preserve"> </w:t>
            </w:r>
            <w:r w:rsidRPr="00F90B0B">
              <w:t xml:space="preserve">   </w:t>
            </w:r>
            <w:r w:rsidR="0076116A">
              <w:t>(</w:t>
            </w:r>
            <w:r w:rsidRPr="00F90B0B">
              <w:t>0.</w:t>
            </w:r>
            <w:r w:rsidR="0076116A">
              <w:t>03)</w:t>
            </w:r>
          </w:p>
        </w:tc>
        <w:tc>
          <w:tcPr>
            <w:tcW w:w="1116" w:type="dxa"/>
            <w:tcBorders>
              <w:top w:val="nil"/>
              <w:left w:val="nil"/>
              <w:bottom w:val="nil"/>
              <w:right w:val="nil"/>
            </w:tcBorders>
            <w:vAlign w:val="bottom"/>
          </w:tcPr>
          <w:p w:rsidR="00866753" w:rsidRPr="00F90B0B" w:rsidRDefault="003F0296" w:rsidP="0076116A">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t xml:space="preserve"> </w:t>
            </w:r>
            <w:r w:rsidR="0076116A">
              <w:t>(1)</w:t>
            </w:r>
          </w:p>
        </w:tc>
      </w:tr>
    </w:tbl>
    <w:p w:rsidR="00866753" w:rsidRPr="00256D3F" w:rsidRDefault="00866753" w:rsidP="00866753">
      <w:pPr>
        <w:tabs>
          <w:tab w:val="left" w:pos="-720"/>
        </w:tabs>
        <w:suppressAutoHyphens/>
        <w:spacing w:before="240" w:after="240"/>
        <w:jc w:val="both"/>
        <w:rPr>
          <w:i/>
          <w:iCs/>
        </w:rPr>
      </w:pPr>
      <w:r w:rsidRPr="00256D3F">
        <w:rPr>
          <w:i/>
          <w:iCs/>
        </w:rPr>
        <w:t>Per Diem Revenue represents revenues billed under operating leases and excludes amounts billed to lessees for maintenance and repair, positioning and handling, and other ancillary charges.</w:t>
      </w:r>
    </w:p>
    <w:p w:rsidR="00866753" w:rsidRPr="00256D3F" w:rsidRDefault="00866753" w:rsidP="00866753">
      <w:pPr>
        <w:tabs>
          <w:tab w:val="left" w:pos="-720"/>
        </w:tabs>
        <w:suppressAutoHyphens/>
        <w:spacing w:after="240"/>
        <w:jc w:val="both"/>
        <w:rPr>
          <w:i/>
          <w:iCs/>
        </w:rPr>
      </w:pPr>
      <w:r w:rsidRPr="00256D3F">
        <w:rPr>
          <w:i/>
          <w:iCs/>
        </w:rPr>
        <w:t>Average Total Fleet is based upon the total fleet at each month end.</w:t>
      </w:r>
    </w:p>
    <w:p w:rsidR="00866753" w:rsidRDefault="00866753" w:rsidP="00866753">
      <w:pPr>
        <w:tabs>
          <w:tab w:val="left" w:pos="-720"/>
        </w:tabs>
        <w:suppressAutoHyphens/>
        <w:spacing w:after="240"/>
        <w:ind w:firstLine="720"/>
        <w:jc w:val="both"/>
        <w:rPr>
          <w:sz w:val="22"/>
          <w:highlight w:val="yellow"/>
        </w:rPr>
      </w:pPr>
      <w:r w:rsidRPr="00F90B0B">
        <w:rPr>
          <w:sz w:val="22"/>
        </w:rPr>
        <w:lastRenderedPageBreak/>
        <w:t xml:space="preserve">Equipment leasing revenue was $40.4 million for the three months ended March 31, 2014 compared to $35.9 million for the three months ended March 31, 2013, an increase of $4.5 million or 13%. Domestic pool per diem revenues increased $3.9 million or 12% due to an 11% increase in the average per diem rates and a 1% increase in the average number of chassis in our domestic pools. The increase in the average per diem rates in the domestic pool is primarily due to negotiated per diem rate increases with railroad and intermodal logistic customers. Domestic term lease revenues increased $0.6 million or 14% </w:t>
      </w:r>
      <w:r w:rsidR="005D32A1">
        <w:rPr>
          <w:sz w:val="22"/>
        </w:rPr>
        <w:t xml:space="preserve">primarily </w:t>
      </w:r>
      <w:r w:rsidRPr="00F90B0B">
        <w:rPr>
          <w:sz w:val="22"/>
        </w:rPr>
        <w:t xml:space="preserve">due to </w:t>
      </w:r>
      <w:r w:rsidR="005D32A1">
        <w:rPr>
          <w:sz w:val="22"/>
        </w:rPr>
        <w:t xml:space="preserve">early termination revenue associated with an expiring term lease which also had the effect of reducing revenue due to </w:t>
      </w:r>
      <w:r w:rsidRPr="00F90B0B">
        <w:rPr>
          <w:sz w:val="22"/>
        </w:rPr>
        <w:t>a 10% decrease in the average number of chassis on lease</w:t>
      </w:r>
      <w:r w:rsidR="005D32A1">
        <w:rPr>
          <w:sz w:val="22"/>
        </w:rPr>
        <w:t>.</w:t>
      </w:r>
    </w:p>
    <w:p w:rsidR="00866753" w:rsidRPr="00F90B0B" w:rsidRDefault="00866753" w:rsidP="00866753">
      <w:pPr>
        <w:tabs>
          <w:tab w:val="left" w:pos="-720"/>
        </w:tabs>
        <w:suppressAutoHyphens/>
        <w:spacing w:after="240"/>
        <w:ind w:firstLine="720"/>
        <w:jc w:val="both"/>
        <w:rPr>
          <w:sz w:val="22"/>
        </w:rPr>
      </w:pPr>
      <w:r w:rsidRPr="00F90B0B">
        <w:rPr>
          <w:sz w:val="22"/>
        </w:rPr>
        <w:t>Other revenue was $2.4 million for the three months ended March 31, 2014 compared to $1.4 million for the three months ended March 31, 2013, an increase of $1.0 million or 71%. This increase was primarily attributable to increases in billings to rebalance our pools of $0.8 million and repair billings to customers for damage incurred while the chassis was on lease of $0.2 million.</w:t>
      </w:r>
    </w:p>
    <w:p w:rsidR="00866753" w:rsidRPr="00D82C91" w:rsidRDefault="00866753" w:rsidP="00866753">
      <w:pPr>
        <w:keepNext/>
        <w:keepLines/>
        <w:tabs>
          <w:tab w:val="left" w:pos="-720"/>
          <w:tab w:val="left" w:pos="0"/>
          <w:tab w:val="left" w:pos="720"/>
          <w:tab w:val="left" w:pos="1440"/>
        </w:tabs>
        <w:suppressAutoHyphens/>
        <w:spacing w:after="240"/>
        <w:jc w:val="both"/>
        <w:rPr>
          <w:b/>
          <w:bCs/>
          <w:i/>
          <w:iCs/>
          <w:sz w:val="22"/>
        </w:rPr>
      </w:pPr>
      <w:r w:rsidRPr="00D82C91">
        <w:rPr>
          <w:b/>
          <w:bCs/>
          <w:i/>
          <w:iCs/>
          <w:sz w:val="22"/>
        </w:rPr>
        <w:t>Direct operating expenses</w:t>
      </w:r>
    </w:p>
    <w:p w:rsidR="00866753" w:rsidRPr="00346707" w:rsidRDefault="00866753" w:rsidP="00866753">
      <w:pPr>
        <w:tabs>
          <w:tab w:val="left" w:pos="-720"/>
        </w:tabs>
        <w:suppressAutoHyphens/>
        <w:spacing w:after="240"/>
        <w:ind w:firstLine="720"/>
        <w:jc w:val="both"/>
        <w:rPr>
          <w:sz w:val="22"/>
        </w:rPr>
      </w:pPr>
      <w:r w:rsidRPr="00F90B0B">
        <w:rPr>
          <w:sz w:val="22"/>
        </w:rPr>
        <w:t>Total Company direct operating expenses were $66.8 million for the three months ended March 31, 2014 compared to $61.0 million for the three months ended March 31, 2013, an increase of $5.8 million or 10%.  Maintenance and repair expenses increased $3.7 million or 9%, which was primarily due to a 22% increase in the average number of chassis operating in marine and domestic chassis pools</w:t>
      </w:r>
      <w:r>
        <w:rPr>
          <w:sz w:val="22"/>
        </w:rPr>
        <w:t>.</w:t>
      </w:r>
      <w:r w:rsidR="006564BD">
        <w:rPr>
          <w:sz w:val="22"/>
        </w:rPr>
        <w:t xml:space="preserve">  We experienced a lower average cost per repair and lower frequency of repair </w:t>
      </w:r>
      <w:r w:rsidR="00D0603C">
        <w:rPr>
          <w:sz w:val="22"/>
        </w:rPr>
        <w:t>per</w:t>
      </w:r>
      <w:r w:rsidR="006564BD">
        <w:rPr>
          <w:sz w:val="22"/>
        </w:rPr>
        <w:t xml:space="preserve"> pooled chassis</w:t>
      </w:r>
      <w:r w:rsidR="008C31F4">
        <w:rPr>
          <w:sz w:val="22"/>
        </w:rPr>
        <w:t xml:space="preserve"> utilized</w:t>
      </w:r>
      <w:r w:rsidR="006564BD">
        <w:rPr>
          <w:sz w:val="22"/>
        </w:rPr>
        <w:t xml:space="preserve"> during the three months ended March 31, 2014 versus the comparable period of 2013.  </w:t>
      </w:r>
      <w:r>
        <w:rPr>
          <w:sz w:val="22"/>
        </w:rPr>
        <w:t xml:space="preserve"> </w:t>
      </w:r>
      <w:r w:rsidRPr="00F90B0B">
        <w:rPr>
          <w:sz w:val="22"/>
        </w:rPr>
        <w:t>Additionally, increasing customer demand in chassis pools and the associated costs of placing equipment on-hire resulted in increases in repositioning and handling expenses and other direct operating expenses of $1.3 million and $0.8 million, respectively.</w:t>
      </w:r>
    </w:p>
    <w:p w:rsidR="00866753" w:rsidRPr="00D82C91" w:rsidRDefault="00866753" w:rsidP="00866753">
      <w:pPr>
        <w:keepNext/>
        <w:keepLines/>
        <w:tabs>
          <w:tab w:val="left" w:pos="-720"/>
          <w:tab w:val="left" w:pos="720"/>
          <w:tab w:val="left" w:pos="1440"/>
        </w:tabs>
        <w:suppressAutoHyphens/>
        <w:spacing w:after="240"/>
        <w:jc w:val="both"/>
        <w:rPr>
          <w:i/>
          <w:iCs/>
          <w:sz w:val="22"/>
        </w:rPr>
      </w:pPr>
      <w:r w:rsidRPr="00D82C91">
        <w:rPr>
          <w:i/>
          <w:iCs/>
          <w:sz w:val="22"/>
        </w:rPr>
        <w:t>Marine Market segment</w:t>
      </w:r>
    </w:p>
    <w:p w:rsidR="00866753" w:rsidRDefault="00866753" w:rsidP="00866753">
      <w:pPr>
        <w:tabs>
          <w:tab w:val="left" w:pos="-720"/>
        </w:tabs>
        <w:suppressAutoHyphens/>
        <w:spacing w:after="240"/>
        <w:ind w:firstLine="720"/>
        <w:jc w:val="both"/>
        <w:rPr>
          <w:sz w:val="22"/>
          <w:highlight w:val="yellow"/>
        </w:rPr>
      </w:pPr>
      <w:r w:rsidRPr="00F90B0B">
        <w:rPr>
          <w:sz w:val="22"/>
        </w:rPr>
        <w:t xml:space="preserve">Direct operating expenses for the Marine Market segment were $49.4 million for the three months ended March 31, 2014 compared to $41.2 million for the three months ended March 31, 2013, reflecting an increase of $8.2 million or 20%. Maintenance and repair expenses increased $4.8 million or 16%, primarily due to a 35% </w:t>
      </w:r>
      <w:r w:rsidRPr="005D2EF6">
        <w:rPr>
          <w:sz w:val="22"/>
        </w:rPr>
        <w:t>increase in the average number of chassis operating in our marine pools</w:t>
      </w:r>
      <w:r>
        <w:rPr>
          <w:sz w:val="22"/>
        </w:rPr>
        <w:t xml:space="preserve">. </w:t>
      </w:r>
      <w:r w:rsidR="006564BD">
        <w:rPr>
          <w:sz w:val="22"/>
        </w:rPr>
        <w:t>We experienced a lower average cost per repair and lower frequency of repair</w:t>
      </w:r>
      <w:r w:rsidR="00D0603C">
        <w:rPr>
          <w:sz w:val="22"/>
        </w:rPr>
        <w:t xml:space="preserve"> per</w:t>
      </w:r>
      <w:r w:rsidR="006564BD">
        <w:rPr>
          <w:sz w:val="22"/>
        </w:rPr>
        <w:t xml:space="preserve"> pooled chassis</w:t>
      </w:r>
      <w:r w:rsidR="008C31F4">
        <w:rPr>
          <w:sz w:val="22"/>
        </w:rPr>
        <w:t xml:space="preserve"> utilized</w:t>
      </w:r>
      <w:r w:rsidR="006564BD">
        <w:rPr>
          <w:sz w:val="22"/>
        </w:rPr>
        <w:t xml:space="preserve"> during the three months ended March 31, 2014 versus the comparable period of 2013.  </w:t>
      </w:r>
      <w:r w:rsidRPr="005D2EF6">
        <w:rPr>
          <w:sz w:val="22"/>
        </w:rPr>
        <w:t>Additionally, increasing customer</w:t>
      </w:r>
      <w:r w:rsidRPr="00F90B0B">
        <w:rPr>
          <w:sz w:val="22"/>
        </w:rPr>
        <w:t xml:space="preserve"> demand in chassis pools and the associated costs of placing equipment on-hire resulted in an increase in repositioning and handling expense of $1.9 million and an increase in pool operational expense of $1.0 million. Other direct operating expenses such as storage and insurance related expenses contributed to the remaining increase of $0.5 million.</w:t>
      </w:r>
      <w:r w:rsidRPr="00257377">
        <w:rPr>
          <w:sz w:val="22"/>
        </w:rPr>
        <w:t xml:space="preserve"> </w:t>
      </w:r>
    </w:p>
    <w:p w:rsidR="00866753" w:rsidRPr="005B32E3" w:rsidRDefault="00866753" w:rsidP="00866753">
      <w:pPr>
        <w:keepNext/>
        <w:keepLines/>
        <w:tabs>
          <w:tab w:val="left" w:pos="-720"/>
          <w:tab w:val="left" w:pos="720"/>
          <w:tab w:val="left" w:pos="1440"/>
        </w:tabs>
        <w:suppressAutoHyphens/>
        <w:spacing w:after="240"/>
        <w:jc w:val="both"/>
        <w:rPr>
          <w:i/>
          <w:iCs/>
          <w:sz w:val="22"/>
        </w:rPr>
      </w:pPr>
      <w:r w:rsidRPr="005B32E3">
        <w:rPr>
          <w:i/>
          <w:iCs/>
          <w:sz w:val="22"/>
        </w:rPr>
        <w:t>Domestic Market segment</w:t>
      </w:r>
    </w:p>
    <w:p w:rsidR="00866753" w:rsidRPr="00F90B0B" w:rsidRDefault="00866753" w:rsidP="00866753">
      <w:pPr>
        <w:tabs>
          <w:tab w:val="left" w:pos="-720"/>
        </w:tabs>
        <w:suppressAutoHyphens/>
        <w:spacing w:after="240"/>
        <w:ind w:firstLine="720"/>
        <w:jc w:val="both"/>
        <w:rPr>
          <w:sz w:val="22"/>
        </w:rPr>
      </w:pPr>
      <w:r w:rsidRPr="00F90B0B">
        <w:rPr>
          <w:sz w:val="22"/>
        </w:rPr>
        <w:t>Direct operating expenses for the Domestic Market segment were $13.5 million for the three months ended March 31, 2014 compared to $15.6 million for the three months ended March 31, 2013, reflecting a decrease of $2.1 million or 13%. Maintenance and repair expenses decreased $1.1 million or 10%</w:t>
      </w:r>
      <w:r>
        <w:rPr>
          <w:sz w:val="22"/>
        </w:rPr>
        <w:t xml:space="preserve">. </w:t>
      </w:r>
      <w:r w:rsidR="00DA75B6">
        <w:rPr>
          <w:sz w:val="22"/>
        </w:rPr>
        <w:t>We experienced a lower average cost per repair and lower frequency of repair</w:t>
      </w:r>
      <w:r w:rsidR="00D0603C">
        <w:rPr>
          <w:sz w:val="22"/>
        </w:rPr>
        <w:t xml:space="preserve"> per</w:t>
      </w:r>
      <w:r w:rsidR="00DA75B6">
        <w:rPr>
          <w:sz w:val="22"/>
        </w:rPr>
        <w:t xml:space="preserve"> pooled chassis</w:t>
      </w:r>
      <w:r w:rsidR="008C31F4">
        <w:rPr>
          <w:sz w:val="22"/>
        </w:rPr>
        <w:t xml:space="preserve"> utilized</w:t>
      </w:r>
      <w:r w:rsidR="00DA75B6">
        <w:rPr>
          <w:sz w:val="22"/>
        </w:rPr>
        <w:t xml:space="preserve"> during the three months ended March 31, 2014 versus the comparable period of 2013.  </w:t>
      </w:r>
      <w:r w:rsidRPr="00F90B0B">
        <w:rPr>
          <w:sz w:val="22"/>
        </w:rPr>
        <w:t>Additionally, the purchase of previously rented equipment contributed to a $1.2 million decrease in chassis rental expenses. These decreases were partially offset by a $0.2 million increase in other direct operating expenses.</w:t>
      </w:r>
    </w:p>
    <w:p w:rsidR="00866753" w:rsidRPr="00E01C01" w:rsidRDefault="00866753" w:rsidP="00866753">
      <w:pPr>
        <w:keepNext/>
        <w:keepLines/>
        <w:tabs>
          <w:tab w:val="left" w:pos="-720"/>
          <w:tab w:val="left" w:pos="720"/>
          <w:tab w:val="left" w:pos="1440"/>
        </w:tabs>
        <w:suppressAutoHyphens/>
        <w:spacing w:after="240"/>
        <w:jc w:val="both"/>
        <w:rPr>
          <w:b/>
          <w:bCs/>
        </w:rPr>
      </w:pPr>
      <w:r w:rsidRPr="00E01C01">
        <w:rPr>
          <w:b/>
          <w:bCs/>
        </w:rPr>
        <w:lastRenderedPageBreak/>
        <w:t xml:space="preserve">Revenues and Adjusted EBITDA by segment </w:t>
      </w:r>
    </w:p>
    <w:tbl>
      <w:tblPr>
        <w:tblW w:w="4942" w:type="pct"/>
        <w:jc w:val="center"/>
        <w:tblCellMar>
          <w:left w:w="72" w:type="dxa"/>
          <w:right w:w="72" w:type="dxa"/>
        </w:tblCellMar>
        <w:tblLook w:val="0000" w:firstRow="0" w:lastRow="0" w:firstColumn="0" w:lastColumn="0" w:noHBand="0" w:noVBand="0"/>
      </w:tblPr>
      <w:tblGrid>
        <w:gridCol w:w="3872"/>
        <w:gridCol w:w="1045"/>
        <w:gridCol w:w="1004"/>
        <w:gridCol w:w="1047"/>
        <w:gridCol w:w="1047"/>
        <w:gridCol w:w="1047"/>
        <w:gridCol w:w="1043"/>
      </w:tblGrid>
      <w:tr w:rsidR="00866753" w:rsidRPr="00E01C01" w:rsidTr="00FA35B5">
        <w:trPr>
          <w:cantSplit/>
          <w:jc w:val="center"/>
        </w:trPr>
        <w:tc>
          <w:tcPr>
            <w:tcW w:w="1916" w:type="pct"/>
            <w:tcBorders>
              <w:top w:val="nil"/>
              <w:left w:val="nil"/>
              <w:bottom w:val="nil"/>
              <w:right w:val="nil"/>
            </w:tcBorders>
            <w:vAlign w:val="bottom"/>
          </w:tcPr>
          <w:p w:rsidR="00866753" w:rsidRPr="00E01C01"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p>
        </w:tc>
        <w:tc>
          <w:tcPr>
            <w:tcW w:w="1532" w:type="pct"/>
            <w:gridSpan w:val="3"/>
            <w:tcBorders>
              <w:top w:val="nil"/>
              <w:left w:val="nil"/>
              <w:bottom w:val="nil"/>
              <w:right w:val="nil"/>
            </w:tcBorders>
            <w:vAlign w:val="bottom"/>
          </w:tcPr>
          <w:p w:rsidR="00866753" w:rsidRPr="00E01C01"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01C01">
              <w:rPr>
                <w:b/>
                <w:bCs/>
                <w:sz w:val="16"/>
                <w:szCs w:val="18"/>
              </w:rPr>
              <w:t>Revenues</w:t>
            </w:r>
          </w:p>
        </w:tc>
        <w:tc>
          <w:tcPr>
            <w:tcW w:w="1552" w:type="pct"/>
            <w:gridSpan w:val="3"/>
            <w:tcBorders>
              <w:top w:val="nil"/>
              <w:left w:val="nil"/>
              <w:bottom w:val="nil"/>
              <w:right w:val="nil"/>
            </w:tcBorders>
            <w:vAlign w:val="bottom"/>
          </w:tcPr>
          <w:p w:rsidR="00866753" w:rsidRPr="00E01C01"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01C01">
              <w:rPr>
                <w:b/>
                <w:bCs/>
                <w:sz w:val="16"/>
                <w:szCs w:val="18"/>
              </w:rPr>
              <w:t>Adjusted EBITDA</w:t>
            </w:r>
          </w:p>
        </w:tc>
      </w:tr>
      <w:tr w:rsidR="00866753" w:rsidRPr="00E01C01" w:rsidTr="00FA35B5">
        <w:trPr>
          <w:cantSplit/>
          <w:jc w:val="center"/>
        </w:trPr>
        <w:tc>
          <w:tcPr>
            <w:tcW w:w="1916" w:type="pct"/>
            <w:tcBorders>
              <w:top w:val="nil"/>
              <w:left w:val="nil"/>
              <w:bottom w:val="nil"/>
              <w:right w:val="nil"/>
            </w:tcBorders>
            <w:vAlign w:val="bottom"/>
          </w:tcPr>
          <w:p w:rsidR="00866753" w:rsidRPr="00E01C01"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p>
        </w:tc>
        <w:tc>
          <w:tcPr>
            <w:tcW w:w="517" w:type="pct"/>
            <w:tcBorders>
              <w:top w:val="nil"/>
              <w:left w:val="nil"/>
              <w:bottom w:val="nil"/>
              <w:right w:val="nil"/>
            </w:tcBorders>
            <w:vAlign w:val="bottom"/>
          </w:tcPr>
          <w:p w:rsidR="00866753" w:rsidRPr="00E01C01"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6"/>
                <w:szCs w:val="18"/>
              </w:rPr>
            </w:pPr>
            <w:r w:rsidRPr="00E01C01">
              <w:rPr>
                <w:b/>
                <w:bCs/>
                <w:sz w:val="16"/>
                <w:szCs w:val="18"/>
              </w:rPr>
              <w:t xml:space="preserve">Three Months   Ended     </w:t>
            </w:r>
            <w:r>
              <w:rPr>
                <w:b/>
                <w:bCs/>
                <w:sz w:val="16"/>
                <w:szCs w:val="18"/>
              </w:rPr>
              <w:t>March</w:t>
            </w:r>
            <w:r w:rsidRPr="00E01C01">
              <w:rPr>
                <w:b/>
                <w:bCs/>
                <w:sz w:val="16"/>
                <w:szCs w:val="18"/>
              </w:rPr>
              <w:t xml:space="preserve"> 3</w:t>
            </w:r>
            <w:r>
              <w:rPr>
                <w:b/>
                <w:bCs/>
                <w:sz w:val="16"/>
                <w:szCs w:val="18"/>
              </w:rPr>
              <w:t>1</w:t>
            </w:r>
            <w:r w:rsidRPr="00E01C01">
              <w:rPr>
                <w:b/>
                <w:bCs/>
                <w:sz w:val="16"/>
                <w:szCs w:val="18"/>
              </w:rPr>
              <w:t>,</w:t>
            </w:r>
          </w:p>
          <w:p w:rsidR="00866753" w:rsidRPr="00E01C01"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01C01">
              <w:rPr>
                <w:b/>
                <w:bCs/>
                <w:sz w:val="16"/>
                <w:szCs w:val="18"/>
              </w:rPr>
              <w:t>201</w:t>
            </w:r>
            <w:r>
              <w:rPr>
                <w:b/>
                <w:bCs/>
                <w:sz w:val="16"/>
                <w:szCs w:val="18"/>
              </w:rPr>
              <w:t>4</w:t>
            </w:r>
          </w:p>
        </w:tc>
        <w:tc>
          <w:tcPr>
            <w:tcW w:w="497" w:type="pct"/>
            <w:tcBorders>
              <w:top w:val="nil"/>
              <w:left w:val="nil"/>
              <w:bottom w:val="nil"/>
              <w:right w:val="nil"/>
            </w:tcBorders>
            <w:vAlign w:val="bottom"/>
          </w:tcPr>
          <w:p w:rsidR="00866753" w:rsidRPr="00E01C01" w:rsidRDefault="00866753" w:rsidP="00FA35B5">
            <w:pPr>
              <w:tabs>
                <w:tab w:val="left" w:pos="0"/>
                <w:tab w:val="left" w:pos="216"/>
                <w:tab w:val="left" w:pos="432"/>
                <w:tab w:val="left" w:pos="648"/>
                <w:tab w:val="left" w:pos="964"/>
                <w:tab w:val="left" w:pos="1080"/>
                <w:tab w:val="left" w:pos="1296"/>
                <w:tab w:val="left" w:pos="1512"/>
                <w:tab w:val="left" w:pos="1728"/>
                <w:tab w:val="left" w:pos="1944"/>
              </w:tabs>
              <w:suppressAutoHyphens/>
              <w:spacing w:after="20"/>
              <w:jc w:val="center"/>
              <w:rPr>
                <w:b/>
                <w:bCs/>
                <w:sz w:val="16"/>
                <w:szCs w:val="18"/>
              </w:rPr>
            </w:pPr>
            <w:r w:rsidRPr="00E01C01">
              <w:rPr>
                <w:b/>
                <w:bCs/>
                <w:sz w:val="16"/>
                <w:szCs w:val="18"/>
              </w:rPr>
              <w:t xml:space="preserve">Three Months   Ended     </w:t>
            </w:r>
            <w:r>
              <w:rPr>
                <w:b/>
                <w:bCs/>
                <w:sz w:val="16"/>
                <w:szCs w:val="18"/>
              </w:rPr>
              <w:t>March</w:t>
            </w:r>
            <w:r w:rsidRPr="00E01C01">
              <w:rPr>
                <w:b/>
                <w:bCs/>
                <w:sz w:val="16"/>
                <w:szCs w:val="18"/>
              </w:rPr>
              <w:t xml:space="preserve"> 3</w:t>
            </w:r>
            <w:r>
              <w:rPr>
                <w:b/>
                <w:bCs/>
                <w:sz w:val="16"/>
                <w:szCs w:val="18"/>
              </w:rPr>
              <w:t>1</w:t>
            </w:r>
            <w:r w:rsidRPr="00E01C01">
              <w:rPr>
                <w:b/>
                <w:bCs/>
                <w:sz w:val="16"/>
                <w:szCs w:val="18"/>
              </w:rPr>
              <w:t>,</w:t>
            </w:r>
          </w:p>
          <w:p w:rsidR="00866753" w:rsidRPr="00E01C01" w:rsidRDefault="00866753" w:rsidP="00FA35B5">
            <w:pPr>
              <w:pBdr>
                <w:bottom w:val="single" w:sz="4" w:space="0" w:color="auto"/>
              </w:pBdr>
              <w:tabs>
                <w:tab w:val="left" w:pos="216"/>
                <w:tab w:val="left" w:pos="303"/>
                <w:tab w:val="left" w:pos="432"/>
                <w:tab w:val="left" w:pos="663"/>
                <w:tab w:val="left" w:pos="1080"/>
                <w:tab w:val="left" w:pos="1296"/>
                <w:tab w:val="left" w:pos="1512"/>
                <w:tab w:val="left" w:pos="1728"/>
                <w:tab w:val="left" w:pos="1944"/>
              </w:tabs>
              <w:suppressAutoHyphens/>
              <w:spacing w:after="20"/>
              <w:ind w:firstLine="23"/>
              <w:jc w:val="center"/>
              <w:rPr>
                <w:b/>
                <w:bCs/>
                <w:sz w:val="18"/>
                <w:szCs w:val="18"/>
              </w:rPr>
            </w:pPr>
            <w:r w:rsidRPr="00E01C01">
              <w:rPr>
                <w:b/>
                <w:bCs/>
                <w:sz w:val="16"/>
                <w:szCs w:val="18"/>
              </w:rPr>
              <w:t>201</w:t>
            </w:r>
            <w:r>
              <w:rPr>
                <w:b/>
                <w:bCs/>
                <w:sz w:val="16"/>
                <w:szCs w:val="18"/>
              </w:rPr>
              <w:t>3</w:t>
            </w:r>
          </w:p>
        </w:tc>
        <w:tc>
          <w:tcPr>
            <w:tcW w:w="518" w:type="pct"/>
            <w:tcBorders>
              <w:top w:val="nil"/>
              <w:left w:val="nil"/>
              <w:bottom w:val="nil"/>
              <w:right w:val="nil"/>
            </w:tcBorders>
            <w:vAlign w:val="bottom"/>
          </w:tcPr>
          <w:p w:rsidR="00866753" w:rsidRPr="00E01C01"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01C01">
              <w:rPr>
                <w:b/>
                <w:bCs/>
                <w:sz w:val="16"/>
                <w:szCs w:val="18"/>
              </w:rPr>
              <w:t>Variance</w:t>
            </w:r>
          </w:p>
        </w:tc>
        <w:tc>
          <w:tcPr>
            <w:tcW w:w="518" w:type="pct"/>
            <w:tcBorders>
              <w:top w:val="nil"/>
              <w:left w:val="nil"/>
              <w:bottom w:val="nil"/>
              <w:right w:val="nil"/>
            </w:tcBorders>
            <w:vAlign w:val="bottom"/>
          </w:tcPr>
          <w:p w:rsidR="00866753" w:rsidRPr="00E01C01"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01C01">
              <w:rPr>
                <w:b/>
                <w:bCs/>
                <w:sz w:val="16"/>
                <w:szCs w:val="18"/>
              </w:rPr>
              <w:t xml:space="preserve">Three Months Ended     </w:t>
            </w:r>
            <w:r>
              <w:rPr>
                <w:b/>
                <w:bCs/>
                <w:sz w:val="16"/>
                <w:szCs w:val="18"/>
              </w:rPr>
              <w:t>March</w:t>
            </w:r>
            <w:r w:rsidRPr="00E01C01">
              <w:rPr>
                <w:b/>
                <w:bCs/>
                <w:sz w:val="16"/>
                <w:szCs w:val="18"/>
              </w:rPr>
              <w:t xml:space="preserve"> 3</w:t>
            </w:r>
            <w:r>
              <w:rPr>
                <w:b/>
                <w:bCs/>
                <w:sz w:val="16"/>
                <w:szCs w:val="18"/>
              </w:rPr>
              <w:t>1</w:t>
            </w:r>
            <w:r w:rsidRPr="00E01C01">
              <w:rPr>
                <w:b/>
                <w:bCs/>
                <w:sz w:val="16"/>
                <w:szCs w:val="18"/>
              </w:rPr>
              <w:t>,  201</w:t>
            </w:r>
            <w:r>
              <w:rPr>
                <w:b/>
                <w:bCs/>
                <w:sz w:val="16"/>
                <w:szCs w:val="18"/>
              </w:rPr>
              <w:t>4</w:t>
            </w:r>
          </w:p>
        </w:tc>
        <w:tc>
          <w:tcPr>
            <w:tcW w:w="518" w:type="pct"/>
            <w:tcBorders>
              <w:top w:val="nil"/>
              <w:left w:val="nil"/>
              <w:bottom w:val="nil"/>
              <w:right w:val="nil"/>
            </w:tcBorders>
            <w:vAlign w:val="bottom"/>
          </w:tcPr>
          <w:p w:rsidR="00866753" w:rsidRPr="00E01C01"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01C01">
              <w:rPr>
                <w:b/>
                <w:bCs/>
                <w:sz w:val="16"/>
                <w:szCs w:val="18"/>
              </w:rPr>
              <w:t xml:space="preserve">Three Months Ended     </w:t>
            </w:r>
            <w:r>
              <w:rPr>
                <w:b/>
                <w:bCs/>
                <w:sz w:val="16"/>
                <w:szCs w:val="18"/>
              </w:rPr>
              <w:t>March</w:t>
            </w:r>
            <w:r w:rsidRPr="00E01C01">
              <w:rPr>
                <w:b/>
                <w:bCs/>
                <w:sz w:val="16"/>
                <w:szCs w:val="18"/>
              </w:rPr>
              <w:t xml:space="preserve"> 3</w:t>
            </w:r>
            <w:r>
              <w:rPr>
                <w:b/>
                <w:bCs/>
                <w:sz w:val="16"/>
                <w:szCs w:val="18"/>
              </w:rPr>
              <w:t>1</w:t>
            </w:r>
            <w:r w:rsidRPr="00E01C01">
              <w:rPr>
                <w:b/>
                <w:bCs/>
                <w:sz w:val="16"/>
                <w:szCs w:val="18"/>
              </w:rPr>
              <w:t>,  201</w:t>
            </w:r>
            <w:r>
              <w:rPr>
                <w:b/>
                <w:bCs/>
                <w:sz w:val="16"/>
                <w:szCs w:val="18"/>
              </w:rPr>
              <w:t>3</w:t>
            </w:r>
          </w:p>
        </w:tc>
        <w:tc>
          <w:tcPr>
            <w:tcW w:w="516" w:type="pct"/>
            <w:tcBorders>
              <w:top w:val="nil"/>
              <w:left w:val="nil"/>
              <w:bottom w:val="nil"/>
              <w:right w:val="nil"/>
            </w:tcBorders>
            <w:vAlign w:val="bottom"/>
          </w:tcPr>
          <w:p w:rsidR="00866753" w:rsidRPr="00E01C01"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E01C01">
              <w:rPr>
                <w:b/>
                <w:bCs/>
                <w:sz w:val="16"/>
                <w:szCs w:val="18"/>
              </w:rPr>
              <w:t>Variance</w:t>
            </w:r>
          </w:p>
        </w:tc>
      </w:tr>
      <w:tr w:rsidR="00866753" w:rsidRPr="0053635E" w:rsidTr="00FA35B5">
        <w:trPr>
          <w:cantSplit/>
          <w:jc w:val="center"/>
        </w:trPr>
        <w:tc>
          <w:tcPr>
            <w:tcW w:w="1916" w:type="pct"/>
            <w:tcBorders>
              <w:top w:val="nil"/>
              <w:left w:val="nil"/>
              <w:bottom w:val="nil"/>
              <w:right w:val="nil"/>
            </w:tcBorders>
          </w:tcPr>
          <w:p w:rsidR="00866753" w:rsidRPr="00E01C01"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E01C01">
              <w:rPr>
                <w:b/>
                <w:bCs/>
              </w:rPr>
              <w:t>Consolidated Statement of Operations Data:</w:t>
            </w:r>
          </w:p>
        </w:tc>
        <w:tc>
          <w:tcPr>
            <w:tcW w:w="517" w:type="pct"/>
            <w:tcBorders>
              <w:top w:val="nil"/>
              <w:left w:val="nil"/>
              <w:bottom w:val="nil"/>
              <w:right w:val="nil"/>
            </w:tcBorders>
            <w:vAlign w:val="bottom"/>
          </w:tcPr>
          <w:p w:rsidR="00866753" w:rsidRPr="00E01C01"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497" w:type="pct"/>
            <w:tcBorders>
              <w:top w:val="nil"/>
              <w:left w:val="nil"/>
              <w:bottom w:val="nil"/>
              <w:right w:val="nil"/>
            </w:tcBorders>
            <w:vAlign w:val="bottom"/>
          </w:tcPr>
          <w:p w:rsidR="00866753" w:rsidRPr="00E01C01"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E01C01"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E01C01"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E01C01"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6" w:type="pct"/>
            <w:tcBorders>
              <w:top w:val="nil"/>
              <w:left w:val="nil"/>
              <w:bottom w:val="nil"/>
              <w:right w:val="nil"/>
            </w:tcBorders>
            <w:vAlign w:val="bottom"/>
          </w:tcPr>
          <w:p w:rsidR="00866753" w:rsidRPr="00E01C01"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ind w:left="200" w:hanging="200"/>
            </w:pPr>
            <w:r w:rsidRPr="00F90B0B">
              <w:t>Marine Market segment</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95,886</w:t>
            </w: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75,817</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20,069</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32,888</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25,532</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7,356</w:t>
            </w: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spacing w:after="20"/>
              <w:ind w:left="200" w:hanging="200"/>
            </w:pPr>
            <w:r w:rsidRPr="00F90B0B">
              <w:t>Domestic Market segment</w:t>
            </w:r>
            <w:r w:rsidRPr="00F90B0B">
              <w:tab/>
            </w:r>
          </w:p>
        </w:tc>
        <w:tc>
          <w:tcPr>
            <w:tcW w:w="517"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42,814</w:t>
            </w:r>
          </w:p>
        </w:tc>
        <w:tc>
          <w:tcPr>
            <w:tcW w:w="497"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37,289</w:t>
            </w:r>
          </w:p>
        </w:tc>
        <w:tc>
          <w:tcPr>
            <w:tcW w:w="518"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5,525</w:t>
            </w:r>
          </w:p>
        </w:tc>
        <w:tc>
          <w:tcPr>
            <w:tcW w:w="518"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25,472</w:t>
            </w:r>
          </w:p>
        </w:tc>
        <w:tc>
          <w:tcPr>
            <w:tcW w:w="518"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18,488</w:t>
            </w:r>
          </w:p>
        </w:tc>
        <w:tc>
          <w:tcPr>
            <w:tcW w:w="516"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6,984</w:t>
            </w: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ind w:left="200" w:hanging="200"/>
            </w:pPr>
            <w:r w:rsidRPr="00F90B0B">
              <w:t>Total Reportable segments</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138,700</w:t>
            </w: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113,106</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25,594</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58,360</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     44,020</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1080"/>
                <w:tab w:val="left" w:pos="1296"/>
                <w:tab w:val="left" w:pos="1512"/>
                <w:tab w:val="left" w:pos="1728"/>
                <w:tab w:val="left" w:pos="1944"/>
              </w:tabs>
              <w:suppressAutoHyphens/>
              <w:jc w:val="right"/>
            </w:pPr>
            <w:r w:rsidRPr="00F90B0B">
              <w:t>$    14,340</w:t>
            </w: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spacing w:after="20"/>
              <w:ind w:left="200" w:hanging="200"/>
            </w:pPr>
            <w:r w:rsidRPr="00F90B0B">
              <w:t>Other</w:t>
            </w:r>
            <w:r w:rsidRPr="00F90B0B">
              <w:tab/>
            </w:r>
          </w:p>
        </w:tc>
        <w:tc>
          <w:tcPr>
            <w:tcW w:w="517"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951</w:t>
            </w:r>
          </w:p>
        </w:tc>
        <w:tc>
          <w:tcPr>
            <w:tcW w:w="497"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4,793</w:t>
            </w:r>
          </w:p>
        </w:tc>
        <w:tc>
          <w:tcPr>
            <w:tcW w:w="518"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(3,842)</w:t>
            </w:r>
          </w:p>
        </w:tc>
        <w:tc>
          <w:tcPr>
            <w:tcW w:w="518"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(6,163)</w:t>
            </w:r>
          </w:p>
        </w:tc>
        <w:tc>
          <w:tcPr>
            <w:tcW w:w="518"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(1,053)</w:t>
            </w:r>
          </w:p>
        </w:tc>
        <w:tc>
          <w:tcPr>
            <w:tcW w:w="516"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(5,110)</w:t>
            </w: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spacing w:after="40"/>
              <w:ind w:left="200" w:hanging="200"/>
            </w:pPr>
            <w:r w:rsidRPr="00F90B0B">
              <w:t>Total Company</w:t>
            </w:r>
            <w:r w:rsidRPr="00F90B0B">
              <w:tab/>
            </w:r>
          </w:p>
        </w:tc>
        <w:tc>
          <w:tcPr>
            <w:tcW w:w="517" w:type="pct"/>
            <w:tcBorders>
              <w:top w:val="nil"/>
              <w:left w:val="nil"/>
              <w:bottom w:val="nil"/>
              <w:right w:val="nil"/>
            </w:tcBorders>
            <w:vAlign w:val="bottom"/>
          </w:tcPr>
          <w:p w:rsidR="00866753" w:rsidRPr="00F90B0B"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F90B0B">
              <w:t>$   139,651</w:t>
            </w:r>
          </w:p>
        </w:tc>
        <w:tc>
          <w:tcPr>
            <w:tcW w:w="497" w:type="pct"/>
            <w:tcBorders>
              <w:top w:val="nil"/>
              <w:left w:val="nil"/>
              <w:bottom w:val="nil"/>
              <w:right w:val="nil"/>
            </w:tcBorders>
            <w:vAlign w:val="bottom"/>
          </w:tcPr>
          <w:p w:rsidR="00866753" w:rsidRPr="00F90B0B"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F90B0B">
              <w:t>$  117,899</w:t>
            </w:r>
          </w:p>
        </w:tc>
        <w:tc>
          <w:tcPr>
            <w:tcW w:w="518" w:type="pct"/>
            <w:tcBorders>
              <w:top w:val="nil"/>
              <w:left w:val="nil"/>
              <w:bottom w:val="nil"/>
              <w:right w:val="nil"/>
            </w:tcBorders>
            <w:vAlign w:val="bottom"/>
          </w:tcPr>
          <w:p w:rsidR="00866753" w:rsidRPr="00F90B0B"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F90B0B">
              <w:t>$     21,752</w:t>
            </w:r>
          </w:p>
        </w:tc>
        <w:tc>
          <w:tcPr>
            <w:tcW w:w="518" w:type="pct"/>
            <w:tcBorders>
              <w:top w:val="nil"/>
              <w:left w:val="nil"/>
              <w:bottom w:val="nil"/>
              <w:right w:val="nil"/>
            </w:tcBorders>
            <w:vAlign w:val="bottom"/>
          </w:tcPr>
          <w:p w:rsidR="00866753" w:rsidRPr="00F90B0B"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F90B0B">
              <w:t>$     52,197</w:t>
            </w:r>
          </w:p>
        </w:tc>
        <w:tc>
          <w:tcPr>
            <w:tcW w:w="518" w:type="pct"/>
            <w:tcBorders>
              <w:top w:val="nil"/>
              <w:left w:val="nil"/>
              <w:bottom w:val="nil"/>
              <w:right w:val="nil"/>
            </w:tcBorders>
            <w:vAlign w:val="bottom"/>
          </w:tcPr>
          <w:p w:rsidR="00866753" w:rsidRPr="00F90B0B"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F90B0B">
              <w:t>$     42,967</w:t>
            </w:r>
          </w:p>
        </w:tc>
        <w:tc>
          <w:tcPr>
            <w:tcW w:w="516" w:type="pct"/>
            <w:tcBorders>
              <w:top w:val="nil"/>
              <w:left w:val="nil"/>
              <w:bottom w:val="nil"/>
              <w:right w:val="nil"/>
            </w:tcBorders>
            <w:vAlign w:val="bottom"/>
          </w:tcPr>
          <w:p w:rsidR="00866753" w:rsidRPr="00F90B0B"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F90B0B">
              <w:t>$      9,230</w:t>
            </w: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ind w:left="200" w:hanging="200"/>
            </w:pPr>
            <w:r w:rsidRPr="00F90B0B">
              <w:t>Principal collections on direct finance leases</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(1,187)</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(1,460)</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D323F8">
            <w:pPr>
              <w:suppressAutoHyphens/>
              <w:ind w:left="200" w:hanging="200"/>
            </w:pPr>
            <w:r w:rsidRPr="00F90B0B">
              <w:t xml:space="preserve">Non-cash </w:t>
            </w:r>
            <w:r w:rsidR="00D323F8">
              <w:t>share-based</w:t>
            </w:r>
            <w:r w:rsidRPr="00F90B0B">
              <w:t xml:space="preserve"> compensation</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(218)</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(281)</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ind w:left="200" w:hanging="200"/>
            </w:pPr>
            <w:r w:rsidRPr="00F90B0B">
              <w:t>Depreciation expense</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(18,504)</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(17,274)</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ind w:left="200" w:hanging="200"/>
            </w:pPr>
            <w:r w:rsidRPr="00F90B0B">
              <w:t>Impairment of leasing equipment</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(1,126)</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(2,133)</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ind w:left="200" w:hanging="200"/>
            </w:pPr>
            <w:r w:rsidRPr="00F90B0B">
              <w:t>Loss on modification and extinguishment of debt and capital lease obligations</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(22)</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(647)</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ind w:left="200" w:hanging="200"/>
            </w:pPr>
            <w:r w:rsidRPr="00F90B0B">
              <w:t>Interest expense</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(22,216)</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(22,722)</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spacing w:after="20"/>
              <w:ind w:left="200" w:hanging="200"/>
            </w:pPr>
            <w:r w:rsidRPr="00F90B0B">
              <w:t xml:space="preserve">Other income, net </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382</w:t>
            </w: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F90B0B">
              <w:t>798</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spacing w:after="20"/>
              <w:ind w:left="200" w:hanging="200"/>
            </w:pPr>
            <w:r w:rsidRPr="00F90B0B">
              <w:t>Interest income</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c>
          <w:tcPr>
            <w:tcW w:w="518"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24</w:t>
            </w:r>
          </w:p>
        </w:tc>
        <w:tc>
          <w:tcPr>
            <w:tcW w:w="518" w:type="pct"/>
            <w:tcBorders>
              <w:top w:val="nil"/>
              <w:left w:val="nil"/>
              <w:bottom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2</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spacing w:after="20"/>
              <w:ind w:left="200" w:hanging="200"/>
            </w:pPr>
            <w:r w:rsidRPr="00F90B0B">
              <w:t>Income (loss) before provision (benefit) for income taxes</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c>
          <w:tcPr>
            <w:tcW w:w="518" w:type="pct"/>
            <w:tcBorders>
              <w:top w:val="nil"/>
              <w:left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9,330</w:t>
            </w:r>
          </w:p>
        </w:tc>
        <w:tc>
          <w:tcPr>
            <w:tcW w:w="518" w:type="pct"/>
            <w:tcBorders>
              <w:top w:val="nil"/>
              <w:left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(750)</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ind w:left="200" w:hanging="200"/>
            </w:pPr>
            <w:r w:rsidRPr="00F90B0B">
              <w:t>Provision (benefit) for income taxes</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c>
          <w:tcPr>
            <w:tcW w:w="518" w:type="pct"/>
            <w:tcBorders>
              <w:top w:val="nil"/>
              <w:left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3,856</w:t>
            </w:r>
          </w:p>
        </w:tc>
        <w:tc>
          <w:tcPr>
            <w:tcW w:w="518" w:type="pct"/>
            <w:tcBorders>
              <w:top w:val="nil"/>
              <w:left w:val="nil"/>
              <w:right w:val="nil"/>
            </w:tcBorders>
            <w:vAlign w:val="bottom"/>
          </w:tcPr>
          <w:p w:rsidR="00866753" w:rsidRPr="00F90B0B" w:rsidRDefault="00866753" w:rsidP="00FA35B5">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F90B0B">
              <w:t>(315)</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p>
        </w:tc>
      </w:tr>
      <w:tr w:rsidR="00866753" w:rsidRPr="00F90B0B" w:rsidTr="00FA35B5">
        <w:trPr>
          <w:cantSplit/>
          <w:jc w:val="center"/>
        </w:trPr>
        <w:tc>
          <w:tcPr>
            <w:tcW w:w="1916" w:type="pct"/>
            <w:tcBorders>
              <w:top w:val="nil"/>
              <w:left w:val="nil"/>
              <w:bottom w:val="nil"/>
              <w:right w:val="nil"/>
            </w:tcBorders>
          </w:tcPr>
          <w:p w:rsidR="00866753" w:rsidRPr="00F90B0B" w:rsidRDefault="00866753" w:rsidP="00FA35B5">
            <w:pPr>
              <w:suppressAutoHyphens/>
              <w:spacing w:after="40"/>
              <w:ind w:left="200" w:hanging="200"/>
            </w:pPr>
            <w:r w:rsidRPr="00F90B0B">
              <w:t>Net income (loss)</w:t>
            </w:r>
            <w:r w:rsidRPr="00F90B0B">
              <w:tab/>
            </w:r>
          </w:p>
        </w:tc>
        <w:tc>
          <w:tcPr>
            <w:tcW w:w="51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p>
        </w:tc>
        <w:tc>
          <w:tcPr>
            <w:tcW w:w="497"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p>
        </w:tc>
        <w:tc>
          <w:tcPr>
            <w:tcW w:w="518"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p>
        </w:tc>
        <w:tc>
          <w:tcPr>
            <w:tcW w:w="518" w:type="pct"/>
            <w:tcBorders>
              <w:left w:val="nil"/>
              <w:bottom w:val="nil"/>
              <w:right w:val="nil"/>
            </w:tcBorders>
            <w:vAlign w:val="bottom"/>
          </w:tcPr>
          <w:p w:rsidR="00866753" w:rsidRPr="00F90B0B"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F90B0B">
              <w:t>$       5,474</w:t>
            </w:r>
          </w:p>
        </w:tc>
        <w:tc>
          <w:tcPr>
            <w:tcW w:w="518" w:type="pct"/>
            <w:tcBorders>
              <w:left w:val="nil"/>
              <w:bottom w:val="nil"/>
              <w:right w:val="nil"/>
            </w:tcBorders>
            <w:vAlign w:val="bottom"/>
          </w:tcPr>
          <w:p w:rsidR="00866753" w:rsidRPr="00F90B0B" w:rsidRDefault="00866753" w:rsidP="00FA35B5">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r w:rsidRPr="00F90B0B">
              <w:t>$       (435)</w:t>
            </w:r>
          </w:p>
        </w:tc>
        <w:tc>
          <w:tcPr>
            <w:tcW w:w="516" w:type="pct"/>
            <w:tcBorders>
              <w:top w:val="nil"/>
              <w:left w:val="nil"/>
              <w:bottom w:val="nil"/>
              <w:right w:val="nil"/>
            </w:tcBorders>
            <w:vAlign w:val="bottom"/>
          </w:tcPr>
          <w:p w:rsidR="00866753" w:rsidRPr="00F90B0B" w:rsidRDefault="00866753" w:rsidP="00FA35B5">
            <w:pP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pPr>
          </w:p>
        </w:tc>
      </w:tr>
    </w:tbl>
    <w:p w:rsidR="00866753" w:rsidRPr="00F90B0B" w:rsidRDefault="00866753" w:rsidP="00866753">
      <w:pPr>
        <w:keepNext/>
        <w:keepLines/>
        <w:tabs>
          <w:tab w:val="left" w:pos="-720"/>
          <w:tab w:val="left" w:pos="0"/>
          <w:tab w:val="left" w:pos="720"/>
          <w:tab w:val="left" w:pos="1440"/>
        </w:tabs>
        <w:suppressAutoHyphens/>
        <w:spacing w:before="240" w:after="240"/>
        <w:jc w:val="both"/>
        <w:rPr>
          <w:b/>
          <w:bCs/>
          <w:i/>
          <w:iCs/>
          <w:sz w:val="22"/>
        </w:rPr>
      </w:pPr>
      <w:r w:rsidRPr="00F90B0B">
        <w:rPr>
          <w:b/>
          <w:bCs/>
          <w:i/>
          <w:iCs/>
          <w:sz w:val="22"/>
        </w:rPr>
        <w:t>Selling, general and administrative expenses</w:t>
      </w:r>
    </w:p>
    <w:p w:rsidR="00866753" w:rsidRPr="00F90B0B" w:rsidRDefault="00866753" w:rsidP="00866753">
      <w:pPr>
        <w:tabs>
          <w:tab w:val="left" w:pos="-720"/>
        </w:tabs>
        <w:suppressAutoHyphens/>
        <w:spacing w:after="240"/>
        <w:ind w:firstLine="720"/>
        <w:jc w:val="both"/>
        <w:rPr>
          <w:sz w:val="22"/>
        </w:rPr>
      </w:pPr>
      <w:r w:rsidRPr="00F90B0B">
        <w:rPr>
          <w:sz w:val="22"/>
        </w:rPr>
        <w:t>Selling, general and administrative expenses were $18.6 million for the three months ended March 31, 2014 compared to $13.5 million for the three months ended March 31, 2013, an increase of $5.1 million or 38%. This increase was primarily due to incremental employee</w:t>
      </w:r>
      <w:r w:rsidRPr="00F90B0B">
        <w:rPr>
          <w:sz w:val="22"/>
        </w:rPr>
        <w:noBreakHyphen/>
        <w:t>related costs resulting from headcount additions in support of the industry shift to the motor carrier model and consulting fees in support of information technology initiatives.</w:t>
      </w:r>
    </w:p>
    <w:p w:rsidR="00866753" w:rsidRPr="000B07F6" w:rsidRDefault="00866753" w:rsidP="00866753">
      <w:pPr>
        <w:keepNext/>
        <w:keepLines/>
        <w:tabs>
          <w:tab w:val="left" w:pos="-720"/>
          <w:tab w:val="left" w:pos="0"/>
          <w:tab w:val="left" w:pos="720"/>
          <w:tab w:val="left" w:pos="1440"/>
        </w:tabs>
        <w:suppressAutoHyphens/>
        <w:spacing w:after="240"/>
        <w:jc w:val="both"/>
        <w:rPr>
          <w:b/>
          <w:bCs/>
          <w:i/>
          <w:iCs/>
          <w:sz w:val="22"/>
        </w:rPr>
      </w:pPr>
      <w:r w:rsidRPr="000B07F6">
        <w:rPr>
          <w:b/>
          <w:bCs/>
          <w:i/>
          <w:iCs/>
          <w:sz w:val="22"/>
        </w:rPr>
        <w:t>Depreciation expense</w:t>
      </w:r>
    </w:p>
    <w:p w:rsidR="00866753" w:rsidRPr="002A120C" w:rsidRDefault="00866753" w:rsidP="00866753">
      <w:pPr>
        <w:tabs>
          <w:tab w:val="left" w:pos="-720"/>
        </w:tabs>
        <w:suppressAutoHyphens/>
        <w:spacing w:after="240"/>
        <w:ind w:firstLine="720"/>
        <w:jc w:val="both"/>
        <w:rPr>
          <w:sz w:val="22"/>
        </w:rPr>
      </w:pPr>
      <w:r w:rsidRPr="00F90B0B">
        <w:rPr>
          <w:sz w:val="22"/>
        </w:rPr>
        <w:t>Depreciation expense was $18.5 million for the three months ended March 31, 2014 compared to $17.3 million for the three months ended March 31, 2013, an increase of $1.2 million or 7%. This increase was primarily due to depreciation on chassis acquired throughout 2013 and during the three months ended March 31, 2014</w:t>
      </w:r>
      <w:r>
        <w:rPr>
          <w:sz w:val="22"/>
        </w:rPr>
        <w:t xml:space="preserve"> and to a lesser extent, computer equipment purchased to support information technology initiatives</w:t>
      </w:r>
      <w:r w:rsidRPr="00F90B0B">
        <w:rPr>
          <w:sz w:val="22"/>
        </w:rPr>
        <w:t>. Such chassis acquisitions were related to marine chassis purchased from the shipping lines as they continue to migrate to the motor carrier model and the purchase of previously leased-in domestic chassis to support the growth in the domestic pool.</w:t>
      </w:r>
    </w:p>
    <w:p w:rsidR="00866753" w:rsidRPr="00C6659C" w:rsidRDefault="00866753" w:rsidP="00866753">
      <w:pPr>
        <w:keepNext/>
        <w:keepLines/>
        <w:tabs>
          <w:tab w:val="left" w:pos="-720"/>
          <w:tab w:val="left" w:pos="0"/>
          <w:tab w:val="left" w:pos="720"/>
          <w:tab w:val="left" w:pos="1440"/>
        </w:tabs>
        <w:suppressAutoHyphens/>
        <w:spacing w:after="240"/>
        <w:jc w:val="both"/>
        <w:rPr>
          <w:b/>
          <w:bCs/>
          <w:i/>
          <w:iCs/>
          <w:sz w:val="22"/>
        </w:rPr>
      </w:pPr>
      <w:r w:rsidRPr="00C6659C">
        <w:rPr>
          <w:b/>
          <w:bCs/>
          <w:i/>
          <w:iCs/>
          <w:sz w:val="22"/>
        </w:rPr>
        <w:lastRenderedPageBreak/>
        <w:t>Provision for doubtful accounts</w:t>
      </w:r>
    </w:p>
    <w:p w:rsidR="00866753" w:rsidRDefault="00866753" w:rsidP="00866753">
      <w:pPr>
        <w:tabs>
          <w:tab w:val="left" w:pos="-720"/>
        </w:tabs>
        <w:suppressAutoHyphens/>
        <w:spacing w:after="240"/>
        <w:ind w:firstLine="720"/>
        <w:jc w:val="both"/>
        <w:rPr>
          <w:sz w:val="22"/>
        </w:rPr>
      </w:pPr>
      <w:r w:rsidRPr="00F90B0B">
        <w:rPr>
          <w:sz w:val="22"/>
        </w:rPr>
        <w:t>The provision for doubtful accounts was $3.5 million for the three months ended March 31, 2014 compared to $2.2 million for the three months ended March 31, 2013, an increase of $1.3 million.  The increase was primarily attributable to a more diversified customer base which includes a larger population of motor carriers as shipping lines continue to migrate to the motor carrier model. As a result, we are providing a greater number of chassis directly to motor carriers, thereby increasing credit risk.</w:t>
      </w:r>
    </w:p>
    <w:p w:rsidR="00866753" w:rsidRPr="00C6659C" w:rsidRDefault="00866753" w:rsidP="00866753">
      <w:pPr>
        <w:keepNext/>
        <w:keepLines/>
        <w:tabs>
          <w:tab w:val="left" w:pos="-720"/>
          <w:tab w:val="left" w:pos="0"/>
          <w:tab w:val="left" w:pos="720"/>
          <w:tab w:val="left" w:pos="1440"/>
        </w:tabs>
        <w:suppressAutoHyphens/>
        <w:spacing w:after="240"/>
        <w:jc w:val="both"/>
        <w:rPr>
          <w:b/>
          <w:bCs/>
          <w:i/>
          <w:iCs/>
          <w:sz w:val="22"/>
        </w:rPr>
      </w:pPr>
      <w:r w:rsidRPr="00C6659C">
        <w:rPr>
          <w:b/>
          <w:bCs/>
          <w:i/>
          <w:iCs/>
          <w:sz w:val="22"/>
        </w:rPr>
        <w:t>Impairment of leasing equipment</w:t>
      </w:r>
    </w:p>
    <w:p w:rsidR="00866753" w:rsidRDefault="00866753" w:rsidP="00866753">
      <w:pPr>
        <w:tabs>
          <w:tab w:val="left" w:pos="-720"/>
        </w:tabs>
        <w:suppressAutoHyphens/>
        <w:spacing w:after="240"/>
        <w:ind w:firstLine="720"/>
        <w:jc w:val="both"/>
        <w:rPr>
          <w:sz w:val="22"/>
          <w:highlight w:val="yellow"/>
        </w:rPr>
      </w:pPr>
      <w:r w:rsidRPr="00F90B0B">
        <w:rPr>
          <w:sz w:val="22"/>
        </w:rPr>
        <w:t>We recorded impairment charges on leasing equipment of $1.1 million for the three months ended March 31, 2014 compared to $2.1 million for the three months ended March 31, 2013, a decrease of $1.0 million or 48%. This decrease was primarily due to a lesser number of end-of-life chassis impaired in the first quarter of 2014 as compared to the first quarter of 2013. This decrease was partially offset by write-downs associated with axle sets and chassis determined to be unsuitable for the remanufacturing program</w:t>
      </w:r>
      <w:r>
        <w:rPr>
          <w:sz w:val="22"/>
        </w:rPr>
        <w:t>.</w:t>
      </w:r>
    </w:p>
    <w:p w:rsidR="00866753" w:rsidRPr="00F12B7C" w:rsidRDefault="00866753" w:rsidP="00866753">
      <w:pPr>
        <w:keepNext/>
        <w:keepLines/>
        <w:tabs>
          <w:tab w:val="left" w:pos="-720"/>
          <w:tab w:val="left" w:pos="0"/>
          <w:tab w:val="left" w:pos="720"/>
          <w:tab w:val="left" w:pos="1440"/>
        </w:tabs>
        <w:suppressAutoHyphens/>
        <w:spacing w:after="240"/>
        <w:jc w:val="both"/>
        <w:rPr>
          <w:b/>
          <w:bCs/>
          <w:i/>
          <w:iCs/>
          <w:sz w:val="22"/>
        </w:rPr>
      </w:pPr>
      <w:r w:rsidRPr="00F12B7C">
        <w:rPr>
          <w:b/>
          <w:bCs/>
          <w:i/>
          <w:iCs/>
          <w:sz w:val="22"/>
        </w:rPr>
        <w:t>Loss on modification and extinguishment of debt and capital lease</w:t>
      </w:r>
      <w:r>
        <w:rPr>
          <w:b/>
          <w:bCs/>
          <w:i/>
          <w:iCs/>
          <w:sz w:val="22"/>
        </w:rPr>
        <w:t xml:space="preserve"> obligations</w:t>
      </w:r>
    </w:p>
    <w:p w:rsidR="00866753" w:rsidRPr="00F90B0B" w:rsidRDefault="00866753" w:rsidP="00866753">
      <w:pPr>
        <w:tabs>
          <w:tab w:val="left" w:pos="-720"/>
        </w:tabs>
        <w:suppressAutoHyphens/>
        <w:spacing w:after="240"/>
        <w:ind w:firstLine="720"/>
        <w:jc w:val="both"/>
        <w:rPr>
          <w:sz w:val="22"/>
        </w:rPr>
      </w:pPr>
      <w:r w:rsidRPr="00F90B0B">
        <w:rPr>
          <w:sz w:val="22"/>
        </w:rPr>
        <w:t xml:space="preserve">The decrease in the loss on modification and extinguishment of debt and capital lease obligations of $0.6 million for the three months ended March 31, 2014, as compared to the corresponding prior year period, was primarily due to the exercise of early purchase options on </w:t>
      </w:r>
      <w:r>
        <w:rPr>
          <w:sz w:val="22"/>
        </w:rPr>
        <w:t xml:space="preserve">two </w:t>
      </w:r>
      <w:r w:rsidRPr="00F90B0B">
        <w:rPr>
          <w:sz w:val="22"/>
        </w:rPr>
        <w:t xml:space="preserve">capital leases </w:t>
      </w:r>
      <w:r>
        <w:rPr>
          <w:sz w:val="22"/>
        </w:rPr>
        <w:t xml:space="preserve">during the </w:t>
      </w:r>
      <w:r w:rsidRPr="00B00B16">
        <w:rPr>
          <w:sz w:val="22"/>
        </w:rPr>
        <w:t>three months ended March 31, 2013</w:t>
      </w:r>
      <w:r>
        <w:rPr>
          <w:sz w:val="22"/>
        </w:rPr>
        <w:t>. I</w:t>
      </w:r>
      <w:r w:rsidRPr="00F90B0B">
        <w:rPr>
          <w:sz w:val="22"/>
        </w:rPr>
        <w:t xml:space="preserve">n accordance with </w:t>
      </w:r>
      <w:r>
        <w:rPr>
          <w:sz w:val="22"/>
        </w:rPr>
        <w:t>such</w:t>
      </w:r>
      <w:r w:rsidRPr="00F90B0B">
        <w:rPr>
          <w:sz w:val="22"/>
        </w:rPr>
        <w:t xml:space="preserve"> exercise</w:t>
      </w:r>
      <w:r>
        <w:rPr>
          <w:sz w:val="22"/>
        </w:rPr>
        <w:t xml:space="preserve">, </w:t>
      </w:r>
      <w:r w:rsidRPr="00F90B0B">
        <w:rPr>
          <w:sz w:val="22"/>
        </w:rPr>
        <w:t>we recognized a $0.6 million loss on the extinguishment of debt related to contractual premiums paid and the write-off of previously capitalized costs.</w:t>
      </w:r>
    </w:p>
    <w:p w:rsidR="00866753" w:rsidRPr="00F90B0B" w:rsidRDefault="00866753" w:rsidP="00866753">
      <w:pPr>
        <w:keepNext/>
        <w:keepLines/>
        <w:tabs>
          <w:tab w:val="left" w:pos="-720"/>
          <w:tab w:val="left" w:pos="0"/>
          <w:tab w:val="left" w:pos="720"/>
          <w:tab w:val="left" w:pos="1440"/>
        </w:tabs>
        <w:suppressAutoHyphens/>
        <w:spacing w:after="240"/>
        <w:jc w:val="both"/>
        <w:rPr>
          <w:b/>
          <w:bCs/>
          <w:i/>
          <w:iCs/>
          <w:sz w:val="22"/>
        </w:rPr>
      </w:pPr>
      <w:r w:rsidRPr="00F90B0B">
        <w:rPr>
          <w:b/>
          <w:bCs/>
          <w:i/>
          <w:iCs/>
          <w:sz w:val="22"/>
        </w:rPr>
        <w:t>Interest expense</w:t>
      </w:r>
    </w:p>
    <w:p w:rsidR="00866753" w:rsidRDefault="00866753" w:rsidP="00866753">
      <w:pPr>
        <w:ind w:firstLine="720"/>
        <w:jc w:val="both"/>
        <w:rPr>
          <w:sz w:val="22"/>
        </w:rPr>
      </w:pPr>
      <w:r w:rsidRPr="00F90B0B">
        <w:rPr>
          <w:sz w:val="22"/>
        </w:rPr>
        <w:t xml:space="preserve">Interest expense was $22.2 million for the three months ended March 31, 2014 compared to $22.7 million for the three months ended March 31, 2013, a decrease of $0.5 million or 2%. The non-cash interest portion of this decrease (consisting of deferred financing fees, amortized losses on terminations of derivative instruments, </w:t>
      </w:r>
      <w:r w:rsidR="00D76014">
        <w:rPr>
          <w:sz w:val="22"/>
        </w:rPr>
        <w:t xml:space="preserve">and </w:t>
      </w:r>
      <w:r w:rsidRPr="00F90B0B">
        <w:rPr>
          <w:sz w:val="22"/>
        </w:rPr>
        <w:t>fair value adjustments for derivative instruments) amounted to $0.6 million, while the cash interest portion resulted in an increase amounting to $0.1 million. The decrease in non-cash interest expense was primarily due to a $0.6 million decrease in the amortization of deferred mark-to-market losses on terminated interest rate swap agreements. The increase in cash interest expense for the three months ended March 31, 2014 was primarily due to a $35.0 million increase in the average balance of debt outstanding during the current year period which yielded incremental cash interest expense of $0.5 million. Partially offsetting this increase was a reduction in the weighted</w:t>
      </w:r>
      <w:r w:rsidRPr="00F90B0B">
        <w:rPr>
          <w:sz w:val="22"/>
        </w:rPr>
        <w:noBreakHyphen/>
        <w:t>average interest rate from 5.66% during the first quarter of 2013 to 5.51% during the first quarter of 2014, which accounted for a $0.4 million decrease in cash interest expense. The increase in the average debt outstanding was primarily due to additional borrowings to support the growth of our chassis fleet.</w:t>
      </w:r>
    </w:p>
    <w:p w:rsidR="00660ABB" w:rsidRDefault="00660ABB"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866753" w:rsidRDefault="00866753" w:rsidP="00866753">
      <w:pPr>
        <w:ind w:firstLine="720"/>
        <w:jc w:val="both"/>
        <w:rPr>
          <w:sz w:val="22"/>
        </w:rPr>
      </w:pPr>
    </w:p>
    <w:p w:rsidR="00866753" w:rsidRPr="00346707" w:rsidRDefault="00866753" w:rsidP="00866753">
      <w:pPr>
        <w:keepNext/>
        <w:keepLines/>
        <w:tabs>
          <w:tab w:val="left" w:pos="-720"/>
          <w:tab w:val="left" w:pos="0"/>
          <w:tab w:val="left" w:pos="720"/>
          <w:tab w:val="left" w:pos="1440"/>
        </w:tabs>
        <w:suppressAutoHyphens/>
        <w:spacing w:after="240"/>
        <w:jc w:val="both"/>
        <w:rPr>
          <w:b/>
          <w:bCs/>
          <w:i/>
          <w:iCs/>
          <w:sz w:val="22"/>
        </w:rPr>
      </w:pPr>
      <w:r w:rsidRPr="00346707">
        <w:rPr>
          <w:b/>
          <w:bCs/>
          <w:i/>
          <w:iCs/>
          <w:sz w:val="22"/>
        </w:rPr>
        <w:lastRenderedPageBreak/>
        <w:t>Other income, net</w:t>
      </w:r>
    </w:p>
    <w:p w:rsidR="00866753" w:rsidRPr="00D633DA" w:rsidRDefault="00866753" w:rsidP="00866753">
      <w:pPr>
        <w:tabs>
          <w:tab w:val="left" w:pos="-720"/>
        </w:tabs>
        <w:suppressAutoHyphens/>
        <w:spacing w:after="240"/>
        <w:ind w:firstLine="720"/>
        <w:jc w:val="both"/>
        <w:rPr>
          <w:sz w:val="22"/>
        </w:rPr>
      </w:pPr>
      <w:r w:rsidRPr="00F90B0B">
        <w:rPr>
          <w:sz w:val="22"/>
        </w:rPr>
        <w:t xml:space="preserve">Other income, net for the three months ended March 31, 2014 was $0.4 million compared to $0.8 million for the three months ended March 31, 2013. The decrease of $0.4 million was primarily due to the reversal of a residual value liability related to the sale of managed domestic containers during the three months ended March 31, 2013. This decrease was partially offset by </w:t>
      </w:r>
      <w:r>
        <w:rPr>
          <w:sz w:val="22"/>
        </w:rPr>
        <w:t>the gain on sale associated with domestic chassis on an expiring term lease.</w:t>
      </w:r>
    </w:p>
    <w:p w:rsidR="00866753" w:rsidRPr="0097020C" w:rsidRDefault="00866753" w:rsidP="00866753">
      <w:pPr>
        <w:keepNext/>
        <w:keepLines/>
        <w:tabs>
          <w:tab w:val="left" w:pos="-720"/>
          <w:tab w:val="left" w:pos="0"/>
          <w:tab w:val="left" w:pos="720"/>
          <w:tab w:val="left" w:pos="1440"/>
        </w:tabs>
        <w:suppressAutoHyphens/>
        <w:spacing w:after="240"/>
        <w:jc w:val="both"/>
        <w:rPr>
          <w:b/>
          <w:bCs/>
          <w:i/>
          <w:iCs/>
          <w:sz w:val="22"/>
        </w:rPr>
      </w:pPr>
      <w:r w:rsidRPr="0097020C">
        <w:rPr>
          <w:b/>
          <w:bCs/>
          <w:i/>
          <w:iCs/>
          <w:sz w:val="22"/>
        </w:rPr>
        <w:t>Provision (benefit) for income taxes</w:t>
      </w:r>
    </w:p>
    <w:p w:rsidR="00866753" w:rsidRPr="00F90B0B" w:rsidRDefault="00866753" w:rsidP="00866753">
      <w:pPr>
        <w:tabs>
          <w:tab w:val="left" w:pos="-720"/>
        </w:tabs>
        <w:suppressAutoHyphens/>
        <w:spacing w:after="240"/>
        <w:ind w:firstLine="720"/>
        <w:jc w:val="both"/>
        <w:rPr>
          <w:sz w:val="22"/>
        </w:rPr>
      </w:pPr>
      <w:r w:rsidRPr="00F90B0B">
        <w:rPr>
          <w:sz w:val="22"/>
        </w:rPr>
        <w:t>The effective income tax rates for the three months ended March 31, 2014 and 2013 were 41% and 42%, respectively. In both periods, the effective tax rate was adversely impacted by Canadian and Mexican tax provisions.</w:t>
      </w:r>
    </w:p>
    <w:p w:rsidR="00866753" w:rsidRPr="00F90B0B" w:rsidRDefault="00866753" w:rsidP="00866753">
      <w:pPr>
        <w:keepNext/>
        <w:keepLines/>
        <w:tabs>
          <w:tab w:val="left" w:pos="-720"/>
          <w:tab w:val="left" w:pos="0"/>
          <w:tab w:val="left" w:pos="720"/>
          <w:tab w:val="left" w:pos="1440"/>
        </w:tabs>
        <w:suppressAutoHyphens/>
        <w:spacing w:after="240"/>
        <w:jc w:val="both"/>
        <w:rPr>
          <w:b/>
          <w:bCs/>
          <w:i/>
          <w:iCs/>
          <w:sz w:val="22"/>
        </w:rPr>
      </w:pPr>
      <w:r w:rsidRPr="00F90B0B">
        <w:rPr>
          <w:b/>
          <w:bCs/>
          <w:i/>
          <w:iCs/>
          <w:sz w:val="22"/>
        </w:rPr>
        <w:t>Net income (loss)</w:t>
      </w:r>
    </w:p>
    <w:p w:rsidR="00866753" w:rsidRDefault="00866753" w:rsidP="00866753">
      <w:pPr>
        <w:ind w:firstLine="720"/>
        <w:jc w:val="both"/>
        <w:rPr>
          <w:sz w:val="22"/>
        </w:rPr>
      </w:pPr>
      <w:r w:rsidRPr="00F90B0B">
        <w:rPr>
          <w:sz w:val="22"/>
        </w:rPr>
        <w:t>Net income was $5.5 million for the three months ended March 31, 2014 compared to a net loss of $0.4 million for the three months ended March 31, 2013. The increase in the net income was attributable to the items noted above.</w:t>
      </w: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Default="009F28DE" w:rsidP="00866753">
      <w:pPr>
        <w:ind w:firstLine="720"/>
        <w:jc w:val="both"/>
        <w:rPr>
          <w:sz w:val="22"/>
        </w:rPr>
      </w:pPr>
    </w:p>
    <w:p w:rsidR="009F28DE" w:rsidRPr="00F90B0B" w:rsidRDefault="009F28DE" w:rsidP="00866753">
      <w:pPr>
        <w:ind w:firstLine="720"/>
        <w:jc w:val="both"/>
        <w:rPr>
          <w:sz w:val="22"/>
        </w:rPr>
      </w:pPr>
    </w:p>
    <w:p w:rsidR="00866753" w:rsidRDefault="00866753" w:rsidP="00690897">
      <w:pPr>
        <w:keepNext/>
        <w:keepLines/>
        <w:tabs>
          <w:tab w:val="left" w:pos="-720"/>
          <w:tab w:val="left" w:pos="720"/>
          <w:tab w:val="left" w:pos="1440"/>
        </w:tabs>
        <w:suppressAutoHyphens/>
        <w:spacing w:after="240"/>
        <w:rPr>
          <w:b/>
          <w:bCs/>
          <w:sz w:val="22"/>
        </w:rPr>
      </w:pPr>
    </w:p>
    <w:p w:rsidR="00690897" w:rsidRPr="0053635E" w:rsidRDefault="00690897" w:rsidP="00690897">
      <w:pPr>
        <w:jc w:val="both"/>
        <w:rPr>
          <w:sz w:val="22"/>
          <w:highlight w:val="yellow"/>
        </w:rPr>
      </w:pPr>
    </w:p>
    <w:p w:rsidR="005B3D1E" w:rsidRPr="0091798F" w:rsidRDefault="00690897" w:rsidP="00690897">
      <w:pPr>
        <w:widowControl/>
        <w:overflowPunct w:val="0"/>
        <w:spacing w:after="280"/>
        <w:jc w:val="both"/>
        <w:textAlignment w:val="baseline"/>
        <w:rPr>
          <w:b/>
          <w:sz w:val="22"/>
        </w:rPr>
      </w:pPr>
      <w:r w:rsidRPr="0091798F">
        <w:rPr>
          <w:b/>
          <w:sz w:val="22"/>
        </w:rPr>
        <w:lastRenderedPageBreak/>
        <w:t>Liquidity and Capital Resources</w:t>
      </w:r>
    </w:p>
    <w:p w:rsidR="00690897" w:rsidRPr="0091798F" w:rsidRDefault="00690897" w:rsidP="00690897">
      <w:pPr>
        <w:tabs>
          <w:tab w:val="left" w:pos="-720"/>
        </w:tabs>
        <w:suppressAutoHyphens/>
        <w:spacing w:after="240"/>
        <w:ind w:firstLine="720"/>
        <w:jc w:val="both"/>
        <w:rPr>
          <w:sz w:val="22"/>
        </w:rPr>
      </w:pPr>
      <w:r w:rsidRPr="0091798F">
        <w:rPr>
          <w:sz w:val="22"/>
        </w:rPr>
        <w:t>We have historically met our liquidity requirements primarily from revenues from operating activities from our subsidiaries, lines of credit and other secured and unsecured borrowings.</w:t>
      </w:r>
    </w:p>
    <w:p w:rsidR="002B72A7" w:rsidRDefault="00690897" w:rsidP="00CE2FB3">
      <w:pPr>
        <w:tabs>
          <w:tab w:val="left" w:pos="-720"/>
        </w:tabs>
        <w:suppressAutoHyphens/>
        <w:spacing w:after="240"/>
        <w:ind w:firstLine="720"/>
        <w:jc w:val="both"/>
        <w:rPr>
          <w:sz w:val="22"/>
        </w:rPr>
      </w:pPr>
      <w:r w:rsidRPr="001C6440">
        <w:rPr>
          <w:sz w:val="22"/>
        </w:rPr>
        <w:t>Revenues from operating activities include term lease and marine and domestic pool revenues, direct finance lease collections</w:t>
      </w:r>
      <w:r w:rsidR="005F7AFA" w:rsidRPr="001C6440">
        <w:rPr>
          <w:sz w:val="22"/>
        </w:rPr>
        <w:t>,</w:t>
      </w:r>
      <w:r w:rsidRPr="001C6440">
        <w:rPr>
          <w:sz w:val="22"/>
        </w:rPr>
        <w:t xml:space="preserve"> billings to les</w:t>
      </w:r>
      <w:r w:rsidR="005F7AFA" w:rsidRPr="001C6440">
        <w:rPr>
          <w:sz w:val="22"/>
        </w:rPr>
        <w:t>sees for maintenance and repair</w:t>
      </w:r>
      <w:r w:rsidR="00312888" w:rsidRPr="001C6440">
        <w:rPr>
          <w:sz w:val="22"/>
        </w:rPr>
        <w:t>s</w:t>
      </w:r>
      <w:r w:rsidR="005F7AFA" w:rsidRPr="001C6440">
        <w:rPr>
          <w:sz w:val="22"/>
        </w:rPr>
        <w:t xml:space="preserve"> and</w:t>
      </w:r>
      <w:r w:rsidR="00487A31" w:rsidRPr="001C6440">
        <w:rPr>
          <w:sz w:val="22"/>
        </w:rPr>
        <w:t xml:space="preserve"> billings to lessees for</w:t>
      </w:r>
      <w:r w:rsidRPr="001C6440">
        <w:rPr>
          <w:sz w:val="22"/>
        </w:rPr>
        <w:t xml:space="preserve"> repositioning and management </w:t>
      </w:r>
      <w:r w:rsidR="005D056F">
        <w:rPr>
          <w:sz w:val="22"/>
        </w:rPr>
        <w:t>services</w:t>
      </w:r>
      <w:r w:rsidRPr="001C6440">
        <w:rPr>
          <w:sz w:val="22"/>
        </w:rPr>
        <w:t>.</w:t>
      </w:r>
      <w:r w:rsidR="00487A31" w:rsidRPr="001C6440">
        <w:rPr>
          <w:sz w:val="22"/>
        </w:rPr>
        <w:t xml:space="preserve"> </w:t>
      </w:r>
      <w:r w:rsidRPr="001C6440">
        <w:rPr>
          <w:sz w:val="22"/>
        </w:rPr>
        <w:t xml:space="preserve"> Cash flow provided by operating activities </w:t>
      </w:r>
      <w:r w:rsidRPr="00911AAF">
        <w:rPr>
          <w:sz w:val="22"/>
        </w:rPr>
        <w:t>was $</w:t>
      </w:r>
      <w:r w:rsidR="00911AAF" w:rsidRPr="00911AAF">
        <w:rPr>
          <w:sz w:val="22"/>
        </w:rPr>
        <w:t>2</w:t>
      </w:r>
      <w:r w:rsidR="00D33CF2">
        <w:rPr>
          <w:sz w:val="22"/>
        </w:rPr>
        <w:t>3.0</w:t>
      </w:r>
      <w:r w:rsidRPr="00911AAF">
        <w:rPr>
          <w:sz w:val="22"/>
        </w:rPr>
        <w:t xml:space="preserve"> million</w:t>
      </w:r>
      <w:r w:rsidR="001C6440" w:rsidRPr="00911AAF">
        <w:rPr>
          <w:sz w:val="22"/>
        </w:rPr>
        <w:t xml:space="preserve"> and $</w:t>
      </w:r>
      <w:r w:rsidR="001C6440">
        <w:rPr>
          <w:sz w:val="22"/>
        </w:rPr>
        <w:t>4.4 million</w:t>
      </w:r>
      <w:r w:rsidR="00487A31" w:rsidRPr="001C6440">
        <w:rPr>
          <w:sz w:val="22"/>
        </w:rPr>
        <w:t xml:space="preserve"> for the </w:t>
      </w:r>
      <w:r w:rsidR="0091798F" w:rsidRPr="001C6440">
        <w:rPr>
          <w:sz w:val="22"/>
        </w:rPr>
        <w:t>three</w:t>
      </w:r>
      <w:r w:rsidR="00487A31" w:rsidRPr="001C6440">
        <w:rPr>
          <w:sz w:val="22"/>
        </w:rPr>
        <w:t xml:space="preserve"> months ended </w:t>
      </w:r>
      <w:r w:rsidR="0091798F" w:rsidRPr="001C6440">
        <w:rPr>
          <w:sz w:val="22"/>
        </w:rPr>
        <w:t>March</w:t>
      </w:r>
      <w:r w:rsidR="00487A31" w:rsidRPr="001C6440">
        <w:rPr>
          <w:sz w:val="22"/>
        </w:rPr>
        <w:t xml:space="preserve"> 3</w:t>
      </w:r>
      <w:r w:rsidR="0091798F" w:rsidRPr="001C6440">
        <w:rPr>
          <w:sz w:val="22"/>
        </w:rPr>
        <w:t>1</w:t>
      </w:r>
      <w:r w:rsidR="00487A31" w:rsidRPr="001C6440">
        <w:rPr>
          <w:sz w:val="22"/>
        </w:rPr>
        <w:t>, 201</w:t>
      </w:r>
      <w:r w:rsidR="0091798F" w:rsidRPr="001C6440">
        <w:rPr>
          <w:sz w:val="22"/>
        </w:rPr>
        <w:t>4</w:t>
      </w:r>
      <w:r w:rsidR="001C6440">
        <w:rPr>
          <w:sz w:val="22"/>
        </w:rPr>
        <w:t xml:space="preserve"> and 2013, </w:t>
      </w:r>
      <w:r w:rsidR="001C6440" w:rsidRPr="003036E5">
        <w:rPr>
          <w:sz w:val="22"/>
        </w:rPr>
        <w:t>respectively.</w:t>
      </w:r>
      <w:r w:rsidRPr="003036E5">
        <w:rPr>
          <w:sz w:val="22"/>
        </w:rPr>
        <w:t xml:space="preserve">  </w:t>
      </w:r>
      <w:r w:rsidR="00270E2D">
        <w:rPr>
          <w:sz w:val="22"/>
        </w:rPr>
        <w:t>This increase was primarily due to a $21.8 million increase in revenues, partially offset by a $10.8 million increase in direct operating costs and selling, general and administrative expenses.  Additionally, cash provided by working capital increased by $9.1 million.</w:t>
      </w:r>
    </w:p>
    <w:p w:rsidR="0091798F" w:rsidRPr="0091798F" w:rsidRDefault="002B72A7" w:rsidP="00CE2FB3">
      <w:pPr>
        <w:tabs>
          <w:tab w:val="left" w:pos="-720"/>
        </w:tabs>
        <w:suppressAutoHyphens/>
        <w:spacing w:after="240"/>
        <w:ind w:firstLine="720"/>
        <w:jc w:val="both"/>
        <w:rPr>
          <w:sz w:val="22"/>
        </w:rPr>
      </w:pPr>
      <w:r w:rsidRPr="0091798F">
        <w:rPr>
          <w:sz w:val="22"/>
        </w:rPr>
        <w:t xml:space="preserve"> </w:t>
      </w:r>
      <w:r w:rsidR="0091798F" w:rsidRPr="0091798F">
        <w:rPr>
          <w:sz w:val="22"/>
        </w:rPr>
        <w:t xml:space="preserve">Amounts outstanding under existing lines of credit and other secured and unsecured borrowings were </w:t>
      </w:r>
      <w:r w:rsidR="0091798F" w:rsidRPr="00911AAF">
        <w:rPr>
          <w:sz w:val="22"/>
        </w:rPr>
        <w:t>$</w:t>
      </w:r>
      <w:r w:rsidR="00911AAF" w:rsidRPr="00911AAF">
        <w:rPr>
          <w:sz w:val="22"/>
        </w:rPr>
        <w:t>1,145.5</w:t>
      </w:r>
      <w:r w:rsidR="0091798F" w:rsidRPr="00911AAF">
        <w:rPr>
          <w:sz w:val="22"/>
        </w:rPr>
        <w:t xml:space="preserve"> million as of March</w:t>
      </w:r>
      <w:r w:rsidR="0091798F" w:rsidRPr="0091798F">
        <w:rPr>
          <w:sz w:val="22"/>
        </w:rPr>
        <w:t xml:space="preserve"> 31, 2014 and $1,1</w:t>
      </w:r>
      <w:r w:rsidR="00911AAF">
        <w:rPr>
          <w:sz w:val="22"/>
        </w:rPr>
        <w:t>64</w:t>
      </w:r>
      <w:r w:rsidR="0091798F" w:rsidRPr="0091798F">
        <w:rPr>
          <w:sz w:val="22"/>
        </w:rPr>
        <w:t>.1 million as of December 31, 2013.</w:t>
      </w:r>
      <w:r w:rsidR="0091798F">
        <w:rPr>
          <w:sz w:val="22"/>
        </w:rPr>
        <w:t xml:space="preserve">  </w:t>
      </w:r>
      <w:r w:rsidR="004B55D0">
        <w:rPr>
          <w:sz w:val="22"/>
        </w:rPr>
        <w:t>As of March 31, 2014, w</w:t>
      </w:r>
      <w:r w:rsidR="0091798F">
        <w:rPr>
          <w:sz w:val="22"/>
        </w:rPr>
        <w:t>e</w:t>
      </w:r>
      <w:r w:rsidR="004B55D0">
        <w:rPr>
          <w:sz w:val="22"/>
        </w:rPr>
        <w:t xml:space="preserve"> had $</w:t>
      </w:r>
      <w:r w:rsidR="00CD0D58">
        <w:rPr>
          <w:sz w:val="22"/>
        </w:rPr>
        <w:t>707.0</w:t>
      </w:r>
      <w:r w:rsidR="004B55D0">
        <w:rPr>
          <w:sz w:val="22"/>
        </w:rPr>
        <w:t xml:space="preserve"> million outstanding under the ABL Facility and the </w:t>
      </w:r>
      <w:r w:rsidR="0091798F">
        <w:rPr>
          <w:sz w:val="22"/>
        </w:rPr>
        <w:t xml:space="preserve">ability to </w:t>
      </w:r>
      <w:r w:rsidR="0091798F" w:rsidRPr="00CD0D58">
        <w:rPr>
          <w:sz w:val="22"/>
        </w:rPr>
        <w:t>draw $</w:t>
      </w:r>
      <w:r w:rsidR="00CD0D58" w:rsidRPr="00CD0D58">
        <w:rPr>
          <w:sz w:val="22"/>
        </w:rPr>
        <w:t>243.0</w:t>
      </w:r>
      <w:r w:rsidR="0091798F" w:rsidRPr="00CD0D58">
        <w:rPr>
          <w:sz w:val="22"/>
        </w:rPr>
        <w:t xml:space="preserve"> million</w:t>
      </w:r>
      <w:r w:rsidR="004B55D0" w:rsidRPr="00CD0D58">
        <w:rPr>
          <w:sz w:val="22"/>
        </w:rPr>
        <w:t>. No other amounts</w:t>
      </w:r>
      <w:r w:rsidR="004B55D0">
        <w:rPr>
          <w:sz w:val="22"/>
        </w:rPr>
        <w:t xml:space="preserve"> are available to draw under other currently secured or unsecured borrowings.</w:t>
      </w:r>
    </w:p>
    <w:p w:rsidR="00607E38" w:rsidRPr="0086737A" w:rsidRDefault="00607E38" w:rsidP="004C5014">
      <w:pPr>
        <w:tabs>
          <w:tab w:val="left" w:pos="-720"/>
        </w:tabs>
        <w:suppressAutoHyphens/>
        <w:spacing w:after="240"/>
        <w:jc w:val="both"/>
        <w:rPr>
          <w:i/>
          <w:sz w:val="22"/>
        </w:rPr>
      </w:pPr>
      <w:r w:rsidRPr="0086737A">
        <w:rPr>
          <w:i/>
          <w:sz w:val="22"/>
        </w:rPr>
        <w:t>Other Considerations</w:t>
      </w:r>
    </w:p>
    <w:p w:rsidR="00BB2C1C" w:rsidRPr="0088300E" w:rsidRDefault="00690897" w:rsidP="00690897">
      <w:pPr>
        <w:tabs>
          <w:tab w:val="left" w:pos="-720"/>
        </w:tabs>
        <w:suppressAutoHyphens/>
        <w:spacing w:after="240"/>
        <w:ind w:firstLine="720"/>
        <w:jc w:val="both"/>
        <w:rPr>
          <w:sz w:val="22"/>
        </w:rPr>
      </w:pPr>
      <w:r w:rsidRPr="0088300E">
        <w:rPr>
          <w:sz w:val="22"/>
        </w:rPr>
        <w:t xml:space="preserve">As of </w:t>
      </w:r>
      <w:r w:rsidR="004B55D0" w:rsidRPr="0088300E">
        <w:rPr>
          <w:sz w:val="22"/>
        </w:rPr>
        <w:t>March</w:t>
      </w:r>
      <w:r w:rsidRPr="0088300E">
        <w:rPr>
          <w:sz w:val="22"/>
        </w:rPr>
        <w:t xml:space="preserve"> 3</w:t>
      </w:r>
      <w:r w:rsidR="004B55D0" w:rsidRPr="0088300E">
        <w:rPr>
          <w:sz w:val="22"/>
        </w:rPr>
        <w:t>1</w:t>
      </w:r>
      <w:r w:rsidRPr="0088300E">
        <w:rPr>
          <w:sz w:val="22"/>
        </w:rPr>
        <w:t>, 201</w:t>
      </w:r>
      <w:r w:rsidR="004B55D0" w:rsidRPr="0088300E">
        <w:rPr>
          <w:sz w:val="22"/>
        </w:rPr>
        <w:t>4</w:t>
      </w:r>
      <w:r w:rsidRPr="0088300E">
        <w:rPr>
          <w:sz w:val="22"/>
        </w:rPr>
        <w:t>, we ha</w:t>
      </w:r>
      <w:r w:rsidR="00973930" w:rsidRPr="0088300E">
        <w:rPr>
          <w:sz w:val="22"/>
        </w:rPr>
        <w:t>d</w:t>
      </w:r>
      <w:r w:rsidRPr="0088300E">
        <w:rPr>
          <w:sz w:val="22"/>
        </w:rPr>
        <w:t xml:space="preserve"> </w:t>
      </w:r>
      <w:r w:rsidRPr="00B2681A">
        <w:rPr>
          <w:sz w:val="22"/>
        </w:rPr>
        <w:t>approximately $</w:t>
      </w:r>
      <w:r w:rsidR="00B2681A" w:rsidRPr="00B2681A">
        <w:rPr>
          <w:sz w:val="22"/>
        </w:rPr>
        <w:t>37.7</w:t>
      </w:r>
      <w:r w:rsidRPr="00B2681A">
        <w:rPr>
          <w:sz w:val="22"/>
        </w:rPr>
        <w:t> million of scheduled debt</w:t>
      </w:r>
      <w:r w:rsidRPr="0088300E">
        <w:rPr>
          <w:sz w:val="22"/>
        </w:rPr>
        <w:t xml:space="preserve"> amortization over the next 12 month period.  These amounts do not </w:t>
      </w:r>
      <w:r w:rsidRPr="00875213">
        <w:rPr>
          <w:sz w:val="22"/>
        </w:rPr>
        <w:t>include $6</w:t>
      </w:r>
      <w:r w:rsidR="00875213" w:rsidRPr="00875213">
        <w:rPr>
          <w:sz w:val="22"/>
        </w:rPr>
        <w:t>0.4</w:t>
      </w:r>
      <w:r w:rsidRPr="00875213">
        <w:rPr>
          <w:sz w:val="22"/>
        </w:rPr>
        <w:t> million of interest</w:t>
      </w:r>
      <w:r w:rsidRPr="0088300E">
        <w:rPr>
          <w:sz w:val="22"/>
        </w:rPr>
        <w:t xml:space="preserve"> payments, </w:t>
      </w:r>
      <w:r w:rsidRPr="00D26D75">
        <w:rPr>
          <w:sz w:val="22"/>
        </w:rPr>
        <w:t>$</w:t>
      </w:r>
      <w:r w:rsidR="00875213">
        <w:rPr>
          <w:sz w:val="22"/>
        </w:rPr>
        <w:t>4.0</w:t>
      </w:r>
      <w:r w:rsidRPr="00D26D75">
        <w:rPr>
          <w:sz w:val="22"/>
        </w:rPr>
        <w:t> million of</w:t>
      </w:r>
      <w:r w:rsidRPr="0088300E">
        <w:rPr>
          <w:sz w:val="22"/>
        </w:rPr>
        <w:t xml:space="preserve"> asset purchase commitments and $</w:t>
      </w:r>
      <w:r w:rsidR="00875213">
        <w:rPr>
          <w:sz w:val="22"/>
        </w:rPr>
        <w:t>3</w:t>
      </w:r>
      <w:r w:rsidR="00875213" w:rsidRPr="00875213">
        <w:rPr>
          <w:sz w:val="22"/>
        </w:rPr>
        <w:t>.0</w:t>
      </w:r>
      <w:r w:rsidRPr="00875213">
        <w:rPr>
          <w:sz w:val="22"/>
        </w:rPr>
        <w:t xml:space="preserve"> million of operating</w:t>
      </w:r>
      <w:r w:rsidRPr="0088300E">
        <w:rPr>
          <w:sz w:val="22"/>
        </w:rPr>
        <w:t xml:space="preserve"> lease commitments existing as of </w:t>
      </w:r>
      <w:r w:rsidR="0088300E">
        <w:rPr>
          <w:sz w:val="22"/>
        </w:rPr>
        <w:t>March</w:t>
      </w:r>
      <w:r w:rsidRPr="0088300E">
        <w:rPr>
          <w:sz w:val="22"/>
        </w:rPr>
        <w:t xml:space="preserve"> 3</w:t>
      </w:r>
      <w:r w:rsidR="0088300E">
        <w:rPr>
          <w:sz w:val="22"/>
        </w:rPr>
        <w:t>1</w:t>
      </w:r>
      <w:r w:rsidRPr="0088300E">
        <w:rPr>
          <w:sz w:val="22"/>
        </w:rPr>
        <w:t>, 201</w:t>
      </w:r>
      <w:r w:rsidR="0088300E">
        <w:rPr>
          <w:sz w:val="22"/>
        </w:rPr>
        <w:t>4</w:t>
      </w:r>
      <w:r w:rsidRPr="0088300E">
        <w:rPr>
          <w:sz w:val="22"/>
        </w:rPr>
        <w:t xml:space="preserve"> a</w:t>
      </w:r>
      <w:r w:rsidR="00973930" w:rsidRPr="0088300E">
        <w:rPr>
          <w:sz w:val="22"/>
        </w:rPr>
        <w:t>nd</w:t>
      </w:r>
      <w:r w:rsidRPr="0088300E">
        <w:rPr>
          <w:sz w:val="22"/>
        </w:rPr>
        <w:t xml:space="preserve"> maturing over the next 12 months. </w:t>
      </w:r>
    </w:p>
    <w:p w:rsidR="00187794" w:rsidRPr="00884B92" w:rsidRDefault="00187794" w:rsidP="00690897">
      <w:pPr>
        <w:tabs>
          <w:tab w:val="left" w:pos="-720"/>
        </w:tabs>
        <w:suppressAutoHyphens/>
        <w:spacing w:after="240"/>
        <w:ind w:firstLine="720"/>
        <w:jc w:val="both"/>
        <w:rPr>
          <w:sz w:val="22"/>
        </w:rPr>
      </w:pPr>
      <w:r w:rsidRPr="00884B92">
        <w:rPr>
          <w:sz w:val="22"/>
        </w:rPr>
        <w:t>We expect that cash flows from operations and principal collections on direct finance leases will be sufficient to meet our liquidity needs for</w:t>
      </w:r>
      <w:r w:rsidR="003E1BA4" w:rsidRPr="00884B92">
        <w:rPr>
          <w:sz w:val="22"/>
        </w:rPr>
        <w:t xml:space="preserve"> the next 12 months</w:t>
      </w:r>
      <w:r w:rsidR="00441C25">
        <w:rPr>
          <w:sz w:val="22"/>
        </w:rPr>
        <w:t xml:space="preserve"> including</w:t>
      </w:r>
      <w:r w:rsidRPr="00884B92">
        <w:rPr>
          <w:sz w:val="22"/>
        </w:rPr>
        <w:t xml:space="preserve"> maturing debt and contractual obligations. We believe that we will be able to maintain compliance with any applicable covenants in our indebtedness for the next 12 months. We may need to borrow funds to finance the purchases of new and used assets or to remanufacture assets to expand the business. No assurance can be made that we will be able to meet our financing and other liquidity needs as currently contemplated</w:t>
      </w:r>
      <w:r w:rsidR="004B55D0" w:rsidRPr="00884B92">
        <w:rPr>
          <w:sz w:val="22"/>
        </w:rPr>
        <w:t>.</w:t>
      </w:r>
    </w:p>
    <w:p w:rsidR="003E6D18" w:rsidRDefault="00187794" w:rsidP="00822B62">
      <w:pPr>
        <w:tabs>
          <w:tab w:val="left" w:pos="-720"/>
        </w:tabs>
        <w:suppressAutoHyphens/>
        <w:spacing w:after="240"/>
        <w:ind w:firstLine="720"/>
        <w:jc w:val="both"/>
        <w:rPr>
          <w:sz w:val="22"/>
        </w:rPr>
      </w:pPr>
      <w:r w:rsidRPr="00884B92">
        <w:rPr>
          <w:sz w:val="22"/>
        </w:rPr>
        <w:t>Historically, the Company has had the ability to service debt obligations and to obtain additional financing as needed by the business. The majority of our debt is secured by long-lived assets which have proven to be an attractive collateral source for our lenders evidenced by our long history of obtaining capital lease obligations, term-loans and most recently, asset backed lending.</w:t>
      </w:r>
    </w:p>
    <w:p w:rsidR="001836F1" w:rsidRDefault="001836F1" w:rsidP="00822B62">
      <w:pPr>
        <w:tabs>
          <w:tab w:val="left" w:pos="-720"/>
        </w:tabs>
        <w:suppressAutoHyphens/>
        <w:spacing w:after="240"/>
        <w:ind w:firstLine="720"/>
        <w:jc w:val="both"/>
        <w:rPr>
          <w:sz w:val="22"/>
        </w:rPr>
      </w:pPr>
    </w:p>
    <w:p w:rsidR="00660ABB" w:rsidRPr="00884B92" w:rsidRDefault="00660ABB" w:rsidP="00822B62">
      <w:pPr>
        <w:tabs>
          <w:tab w:val="left" w:pos="-720"/>
        </w:tabs>
        <w:suppressAutoHyphens/>
        <w:spacing w:after="240"/>
        <w:ind w:firstLine="720"/>
        <w:jc w:val="both"/>
        <w:rPr>
          <w:sz w:val="22"/>
        </w:rPr>
      </w:pPr>
    </w:p>
    <w:p w:rsidR="00E1053C" w:rsidRPr="0053635E" w:rsidRDefault="00E1053C" w:rsidP="00822B62">
      <w:pPr>
        <w:tabs>
          <w:tab w:val="left" w:pos="-720"/>
        </w:tabs>
        <w:suppressAutoHyphens/>
        <w:spacing w:after="240"/>
        <w:ind w:firstLine="720"/>
        <w:jc w:val="both"/>
        <w:rPr>
          <w:sz w:val="22"/>
          <w:highlight w:val="yellow"/>
        </w:rPr>
      </w:pPr>
    </w:p>
    <w:p w:rsidR="00E1053C" w:rsidRPr="0053635E" w:rsidRDefault="00E1053C" w:rsidP="00822B62">
      <w:pPr>
        <w:tabs>
          <w:tab w:val="left" w:pos="-720"/>
        </w:tabs>
        <w:suppressAutoHyphens/>
        <w:spacing w:after="240"/>
        <w:ind w:firstLine="720"/>
        <w:jc w:val="both"/>
        <w:rPr>
          <w:sz w:val="22"/>
          <w:highlight w:val="yellow"/>
        </w:rPr>
      </w:pPr>
    </w:p>
    <w:p w:rsidR="00E1053C" w:rsidRPr="0053635E" w:rsidRDefault="00E1053C" w:rsidP="00822B62">
      <w:pPr>
        <w:tabs>
          <w:tab w:val="left" w:pos="-720"/>
        </w:tabs>
        <w:suppressAutoHyphens/>
        <w:spacing w:after="240"/>
        <w:ind w:firstLine="720"/>
        <w:jc w:val="both"/>
        <w:rPr>
          <w:sz w:val="22"/>
          <w:highlight w:val="yellow"/>
        </w:rPr>
      </w:pPr>
    </w:p>
    <w:p w:rsidR="00690897" w:rsidRPr="00884B92" w:rsidRDefault="00690897" w:rsidP="00690897">
      <w:pPr>
        <w:keepNext/>
        <w:keepLines/>
        <w:tabs>
          <w:tab w:val="left" w:pos="-720"/>
          <w:tab w:val="left" w:pos="0"/>
          <w:tab w:val="left" w:pos="720"/>
          <w:tab w:val="left" w:pos="1440"/>
        </w:tabs>
        <w:suppressAutoHyphens/>
        <w:spacing w:after="240"/>
        <w:jc w:val="both"/>
        <w:rPr>
          <w:b/>
          <w:bCs/>
          <w:i/>
          <w:iCs/>
          <w:sz w:val="22"/>
        </w:rPr>
      </w:pPr>
      <w:r w:rsidRPr="00884B92">
        <w:rPr>
          <w:b/>
          <w:bCs/>
          <w:i/>
          <w:iCs/>
          <w:sz w:val="22"/>
        </w:rPr>
        <w:lastRenderedPageBreak/>
        <w:t>Liquidity needs for acquisition of new chassis</w:t>
      </w:r>
    </w:p>
    <w:p w:rsidR="00690897" w:rsidRPr="00884B92" w:rsidRDefault="00690897" w:rsidP="003E6D18">
      <w:pPr>
        <w:tabs>
          <w:tab w:val="left" w:pos="-720"/>
        </w:tabs>
        <w:suppressAutoHyphens/>
        <w:spacing w:after="240"/>
        <w:ind w:firstLine="720"/>
        <w:jc w:val="both"/>
        <w:rPr>
          <w:sz w:val="22"/>
        </w:rPr>
      </w:pPr>
      <w:r w:rsidRPr="00884B92">
        <w:rPr>
          <w:sz w:val="22"/>
        </w:rPr>
        <w:t>We expect to invest substantial funds to acquire new</w:t>
      </w:r>
      <w:r w:rsidR="008D76E0" w:rsidRPr="00884B92">
        <w:rPr>
          <w:sz w:val="22"/>
        </w:rPr>
        <w:t xml:space="preserve"> and</w:t>
      </w:r>
      <w:r w:rsidRPr="00884B92">
        <w:rPr>
          <w:sz w:val="22"/>
        </w:rPr>
        <w:t xml:space="preserve"> used</w:t>
      </w:r>
      <w:r w:rsidR="008D76E0" w:rsidRPr="00884B92">
        <w:rPr>
          <w:sz w:val="22"/>
        </w:rPr>
        <w:t xml:space="preserve"> chassis</w:t>
      </w:r>
      <w:r w:rsidRPr="00884B92">
        <w:rPr>
          <w:sz w:val="22"/>
        </w:rPr>
        <w:t xml:space="preserve"> and remanufacture</w:t>
      </w:r>
      <w:r w:rsidR="008D76E0" w:rsidRPr="00884B92">
        <w:rPr>
          <w:sz w:val="22"/>
        </w:rPr>
        <w:t xml:space="preserve"> </w:t>
      </w:r>
      <w:r w:rsidRPr="00884B92">
        <w:rPr>
          <w:sz w:val="22"/>
        </w:rPr>
        <w:t>chassis, although there can be no assurances as to the timing and amount of such</w:t>
      </w:r>
      <w:r w:rsidR="006A276A">
        <w:rPr>
          <w:sz w:val="22"/>
        </w:rPr>
        <w:t xml:space="preserve"> acquisitions</w:t>
      </w:r>
      <w:r w:rsidRPr="00884B92">
        <w:rPr>
          <w:sz w:val="22"/>
        </w:rPr>
        <w:t>.</w:t>
      </w:r>
      <w:r w:rsidR="0061651C">
        <w:rPr>
          <w:sz w:val="22"/>
        </w:rPr>
        <w:t xml:space="preserve"> </w:t>
      </w:r>
      <w:r w:rsidRPr="00884B92">
        <w:rPr>
          <w:sz w:val="22"/>
        </w:rPr>
        <w:t xml:space="preserve"> </w:t>
      </w:r>
      <w:r w:rsidR="008B2985" w:rsidRPr="00884B92">
        <w:rPr>
          <w:sz w:val="22"/>
        </w:rPr>
        <w:t>In 201</w:t>
      </w:r>
      <w:r w:rsidR="008B2985">
        <w:rPr>
          <w:sz w:val="22"/>
        </w:rPr>
        <w:t>3</w:t>
      </w:r>
      <w:r w:rsidR="008B2985" w:rsidRPr="00884B92">
        <w:rPr>
          <w:sz w:val="22"/>
        </w:rPr>
        <w:t>, $1</w:t>
      </w:r>
      <w:r w:rsidR="008B2985">
        <w:rPr>
          <w:sz w:val="22"/>
        </w:rPr>
        <w:t>41</w:t>
      </w:r>
      <w:r w:rsidR="008B2985" w:rsidRPr="00884B92">
        <w:rPr>
          <w:sz w:val="22"/>
        </w:rPr>
        <w:t>.</w:t>
      </w:r>
      <w:r w:rsidR="008B2985">
        <w:rPr>
          <w:sz w:val="22"/>
        </w:rPr>
        <w:t>1</w:t>
      </w:r>
      <w:r w:rsidR="008B2985" w:rsidRPr="00884B92">
        <w:rPr>
          <w:sz w:val="22"/>
        </w:rPr>
        <w:t xml:space="preserve"> million was invested to acquire marine </w:t>
      </w:r>
      <w:r w:rsidR="008B2985">
        <w:rPr>
          <w:sz w:val="22"/>
        </w:rPr>
        <w:t xml:space="preserve">chassis ($102.8 million) </w:t>
      </w:r>
      <w:r w:rsidR="008B2985" w:rsidRPr="00884B92">
        <w:rPr>
          <w:sz w:val="22"/>
        </w:rPr>
        <w:t xml:space="preserve">and </w:t>
      </w:r>
      <w:r w:rsidR="008B2985">
        <w:rPr>
          <w:sz w:val="22"/>
        </w:rPr>
        <w:t xml:space="preserve">to exercise purchase options on expiring operating leased </w:t>
      </w:r>
      <w:r w:rsidR="008B2985" w:rsidRPr="00884B92">
        <w:rPr>
          <w:sz w:val="22"/>
        </w:rPr>
        <w:t>domestic chassis</w:t>
      </w:r>
      <w:r w:rsidR="008B2985">
        <w:rPr>
          <w:sz w:val="22"/>
        </w:rPr>
        <w:t xml:space="preserve"> ($38.3 million)</w:t>
      </w:r>
      <w:r w:rsidR="008B2985" w:rsidRPr="00884B92">
        <w:rPr>
          <w:sz w:val="22"/>
        </w:rPr>
        <w:t xml:space="preserve">. </w:t>
      </w:r>
      <w:r w:rsidR="0061651C">
        <w:rPr>
          <w:sz w:val="22"/>
        </w:rPr>
        <w:t xml:space="preserve"> </w:t>
      </w:r>
      <w:r w:rsidR="00971249" w:rsidRPr="00884B92">
        <w:rPr>
          <w:sz w:val="22"/>
        </w:rPr>
        <w:t xml:space="preserve">During the </w:t>
      </w:r>
      <w:r w:rsidR="00094710">
        <w:rPr>
          <w:sz w:val="22"/>
        </w:rPr>
        <w:t>three</w:t>
      </w:r>
      <w:r w:rsidR="00971249" w:rsidRPr="00884B92">
        <w:rPr>
          <w:sz w:val="22"/>
        </w:rPr>
        <w:t xml:space="preserve"> months ended</w:t>
      </w:r>
      <w:r w:rsidRPr="00884B92">
        <w:rPr>
          <w:sz w:val="22"/>
        </w:rPr>
        <w:t xml:space="preserve"> </w:t>
      </w:r>
      <w:r w:rsidR="00094710">
        <w:rPr>
          <w:sz w:val="22"/>
        </w:rPr>
        <w:t>March</w:t>
      </w:r>
      <w:r w:rsidRPr="00884B92">
        <w:rPr>
          <w:sz w:val="22"/>
        </w:rPr>
        <w:t xml:space="preserve"> 3</w:t>
      </w:r>
      <w:r w:rsidR="00094710">
        <w:rPr>
          <w:sz w:val="22"/>
        </w:rPr>
        <w:t>1</w:t>
      </w:r>
      <w:r w:rsidRPr="00884B92">
        <w:rPr>
          <w:sz w:val="22"/>
        </w:rPr>
        <w:t>, 201</w:t>
      </w:r>
      <w:r w:rsidR="00094710">
        <w:rPr>
          <w:sz w:val="22"/>
        </w:rPr>
        <w:t>4</w:t>
      </w:r>
      <w:r w:rsidRPr="00D26D75">
        <w:rPr>
          <w:sz w:val="22"/>
        </w:rPr>
        <w:t>, $</w:t>
      </w:r>
      <w:r w:rsidR="00D26D75" w:rsidRPr="00D26D75">
        <w:rPr>
          <w:sz w:val="22"/>
        </w:rPr>
        <w:t>15.</w:t>
      </w:r>
      <w:r w:rsidR="00D33CF2">
        <w:rPr>
          <w:sz w:val="22"/>
        </w:rPr>
        <w:t>8</w:t>
      </w:r>
      <w:r w:rsidRPr="00D26D75">
        <w:rPr>
          <w:sz w:val="22"/>
        </w:rPr>
        <w:t xml:space="preserve"> million was invested to acquire</w:t>
      </w:r>
      <w:r w:rsidRPr="00884B92">
        <w:rPr>
          <w:sz w:val="22"/>
        </w:rPr>
        <w:t xml:space="preserve"> marine </w:t>
      </w:r>
      <w:r w:rsidR="006A276A">
        <w:rPr>
          <w:sz w:val="22"/>
        </w:rPr>
        <w:t xml:space="preserve">chassis ($14.9 million) </w:t>
      </w:r>
      <w:r w:rsidRPr="00884B92">
        <w:rPr>
          <w:sz w:val="22"/>
        </w:rPr>
        <w:t xml:space="preserve">and </w:t>
      </w:r>
      <w:r w:rsidR="008B2985">
        <w:rPr>
          <w:sz w:val="22"/>
        </w:rPr>
        <w:t xml:space="preserve">to </w:t>
      </w:r>
      <w:r w:rsidR="005E4E60">
        <w:rPr>
          <w:sz w:val="22"/>
        </w:rPr>
        <w:t xml:space="preserve">refurbish </w:t>
      </w:r>
      <w:r w:rsidR="006A276A">
        <w:rPr>
          <w:sz w:val="22"/>
        </w:rPr>
        <w:t>ax</w:t>
      </w:r>
      <w:r w:rsidR="008B2985">
        <w:rPr>
          <w:sz w:val="22"/>
        </w:rPr>
        <w:t>le</w:t>
      </w:r>
      <w:r w:rsidR="006A276A">
        <w:rPr>
          <w:sz w:val="22"/>
        </w:rPr>
        <w:t>s ($0.9 million).</w:t>
      </w:r>
      <w:r w:rsidR="0061651C">
        <w:rPr>
          <w:sz w:val="22"/>
        </w:rPr>
        <w:t xml:space="preserve"> </w:t>
      </w:r>
      <w:r w:rsidRPr="00D26D75">
        <w:rPr>
          <w:sz w:val="22"/>
        </w:rPr>
        <w:t xml:space="preserve"> We anticipate additional equipment </w:t>
      </w:r>
      <w:r w:rsidR="005E4E60">
        <w:rPr>
          <w:sz w:val="22"/>
        </w:rPr>
        <w:t>investment</w:t>
      </w:r>
      <w:r w:rsidRPr="00D26D75">
        <w:rPr>
          <w:sz w:val="22"/>
        </w:rPr>
        <w:t xml:space="preserve"> during the remainder of 201</w:t>
      </w:r>
      <w:r w:rsidR="00094710" w:rsidRPr="00D26D75">
        <w:rPr>
          <w:sz w:val="22"/>
        </w:rPr>
        <w:t>4</w:t>
      </w:r>
      <w:r w:rsidRPr="00D26D75">
        <w:rPr>
          <w:sz w:val="22"/>
        </w:rPr>
        <w:t>; however, deterioration</w:t>
      </w:r>
      <w:r w:rsidRPr="00884B92">
        <w:rPr>
          <w:sz w:val="22"/>
        </w:rPr>
        <w:t xml:space="preserve"> in our performance, the credit markets or our inability to obtain additional financing on attractive terms, or at all, could limit our access to funding or drive the cost of capital higher than the current cost. These factors, as well as numerous other factors could limit our ability to raise funds and further the growth of our business.</w:t>
      </w:r>
    </w:p>
    <w:p w:rsidR="00690897" w:rsidRPr="00A8010F" w:rsidRDefault="00690897" w:rsidP="00690897">
      <w:pPr>
        <w:keepNext/>
        <w:keepLines/>
        <w:tabs>
          <w:tab w:val="left" w:pos="-720"/>
          <w:tab w:val="left" w:pos="720"/>
          <w:tab w:val="left" w:pos="1440"/>
        </w:tabs>
        <w:suppressAutoHyphens/>
        <w:spacing w:after="240"/>
        <w:rPr>
          <w:b/>
          <w:bCs/>
          <w:sz w:val="22"/>
        </w:rPr>
      </w:pPr>
      <w:r w:rsidRPr="00A8010F">
        <w:rPr>
          <w:b/>
          <w:bCs/>
          <w:sz w:val="22"/>
        </w:rPr>
        <w:t>Cash flow</w:t>
      </w:r>
    </w:p>
    <w:p w:rsidR="00690897" w:rsidRPr="007A4196" w:rsidRDefault="00864C8E" w:rsidP="007A4196">
      <w:pPr>
        <w:keepNext/>
        <w:keepLines/>
        <w:tabs>
          <w:tab w:val="left" w:pos="-720"/>
          <w:tab w:val="left" w:pos="0"/>
          <w:tab w:val="left" w:pos="720"/>
          <w:tab w:val="left" w:pos="1440"/>
        </w:tabs>
        <w:suppressAutoHyphens/>
        <w:spacing w:after="240"/>
        <w:ind w:firstLine="720"/>
        <w:rPr>
          <w:bCs/>
          <w:sz w:val="22"/>
        </w:rPr>
      </w:pPr>
      <w:r>
        <w:rPr>
          <w:bCs/>
          <w:sz w:val="22"/>
        </w:rPr>
        <w:t>Cash was $6,115 at March 31, 2014 compared to $11,843 at December 31, 201</w:t>
      </w:r>
      <w:r w:rsidR="00660ABB">
        <w:rPr>
          <w:bCs/>
          <w:sz w:val="22"/>
        </w:rPr>
        <w:t>3</w:t>
      </w:r>
      <w:r>
        <w:rPr>
          <w:bCs/>
          <w:sz w:val="22"/>
        </w:rPr>
        <w:t xml:space="preserve">, a decrease of $5,728.  </w:t>
      </w:r>
      <w:r w:rsidR="00690897" w:rsidRPr="007A4196">
        <w:rPr>
          <w:bCs/>
          <w:sz w:val="22"/>
        </w:rPr>
        <w:t xml:space="preserve">Cash flow information for the </w:t>
      </w:r>
      <w:r w:rsidR="00A8010F" w:rsidRPr="007A4196">
        <w:rPr>
          <w:bCs/>
          <w:sz w:val="22"/>
        </w:rPr>
        <w:t>three</w:t>
      </w:r>
      <w:r w:rsidR="00690897" w:rsidRPr="007A4196">
        <w:rPr>
          <w:bCs/>
          <w:sz w:val="22"/>
        </w:rPr>
        <w:t xml:space="preserve"> months ended </w:t>
      </w:r>
      <w:r w:rsidR="00A8010F" w:rsidRPr="007A4196">
        <w:rPr>
          <w:bCs/>
          <w:sz w:val="22"/>
        </w:rPr>
        <w:t>March</w:t>
      </w:r>
      <w:r w:rsidR="00690897" w:rsidRPr="007A4196">
        <w:rPr>
          <w:bCs/>
          <w:sz w:val="22"/>
        </w:rPr>
        <w:t> 3</w:t>
      </w:r>
      <w:r w:rsidR="00A8010F" w:rsidRPr="007A4196">
        <w:rPr>
          <w:bCs/>
          <w:sz w:val="22"/>
        </w:rPr>
        <w:t>1</w:t>
      </w:r>
      <w:r w:rsidR="00690897" w:rsidRPr="007A4196">
        <w:rPr>
          <w:bCs/>
          <w:sz w:val="22"/>
        </w:rPr>
        <w:t>, 201</w:t>
      </w:r>
      <w:r w:rsidR="00A8010F" w:rsidRPr="007A4196">
        <w:rPr>
          <w:bCs/>
          <w:sz w:val="22"/>
        </w:rPr>
        <w:t>4</w:t>
      </w:r>
      <w:r w:rsidR="00690897" w:rsidRPr="007A4196">
        <w:rPr>
          <w:bCs/>
          <w:sz w:val="22"/>
        </w:rPr>
        <w:t xml:space="preserve"> and 201</w:t>
      </w:r>
      <w:r w:rsidR="00A8010F" w:rsidRPr="007A4196">
        <w:rPr>
          <w:bCs/>
          <w:sz w:val="22"/>
        </w:rPr>
        <w:t>3</w:t>
      </w:r>
      <w:r>
        <w:rPr>
          <w:bCs/>
          <w:sz w:val="22"/>
        </w:rPr>
        <w:t xml:space="preserve"> are as follows:</w:t>
      </w:r>
      <w:r w:rsidR="00690897" w:rsidRPr="007A4196">
        <w:rPr>
          <w:bCs/>
          <w:sz w:val="22"/>
        </w:rPr>
        <w:t xml:space="preserve">  </w:t>
      </w:r>
    </w:p>
    <w:tbl>
      <w:tblPr>
        <w:tblW w:w="0" w:type="auto"/>
        <w:jc w:val="center"/>
        <w:tblInd w:w="-689" w:type="dxa"/>
        <w:tblLayout w:type="fixed"/>
        <w:tblCellMar>
          <w:left w:w="72" w:type="dxa"/>
          <w:right w:w="72" w:type="dxa"/>
        </w:tblCellMar>
        <w:tblLook w:val="0000" w:firstRow="0" w:lastRow="0" w:firstColumn="0" w:lastColumn="0" w:noHBand="0" w:noVBand="0"/>
      </w:tblPr>
      <w:tblGrid>
        <w:gridCol w:w="6260"/>
        <w:gridCol w:w="1227"/>
        <w:gridCol w:w="1227"/>
      </w:tblGrid>
      <w:tr w:rsidR="00690897" w:rsidRPr="0053635E" w:rsidTr="00183789">
        <w:trPr>
          <w:cantSplit/>
          <w:jc w:val="center"/>
        </w:trPr>
        <w:tc>
          <w:tcPr>
            <w:tcW w:w="6260" w:type="dxa"/>
            <w:tcBorders>
              <w:top w:val="nil"/>
              <w:left w:val="nil"/>
              <w:bottom w:val="nil"/>
              <w:right w:val="nil"/>
            </w:tcBorders>
            <w:vAlign w:val="bottom"/>
          </w:tcPr>
          <w:p w:rsidR="00690897" w:rsidRPr="0053635E"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22"/>
                <w:highlight w:val="yellow"/>
              </w:rPr>
            </w:pPr>
          </w:p>
        </w:tc>
        <w:tc>
          <w:tcPr>
            <w:tcW w:w="2454" w:type="dxa"/>
            <w:gridSpan w:val="2"/>
            <w:tcBorders>
              <w:top w:val="nil"/>
              <w:left w:val="nil"/>
              <w:bottom w:val="nil"/>
              <w:right w:val="nil"/>
            </w:tcBorders>
            <w:vAlign w:val="bottom"/>
          </w:tcPr>
          <w:p w:rsidR="00690897" w:rsidRPr="00A8010F" w:rsidRDefault="00A8010F" w:rsidP="00A8010F">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A8010F">
              <w:rPr>
                <w:b/>
                <w:bCs/>
                <w:sz w:val="22"/>
              </w:rPr>
              <w:t>Three</w:t>
            </w:r>
            <w:r w:rsidR="00690897" w:rsidRPr="00A8010F">
              <w:rPr>
                <w:b/>
                <w:bCs/>
                <w:sz w:val="22"/>
              </w:rPr>
              <w:t xml:space="preserve"> months Ended     </w:t>
            </w:r>
            <w:r w:rsidRPr="00A8010F">
              <w:rPr>
                <w:b/>
                <w:bCs/>
                <w:sz w:val="22"/>
              </w:rPr>
              <w:t>March</w:t>
            </w:r>
            <w:r w:rsidR="00690897" w:rsidRPr="00A8010F">
              <w:rPr>
                <w:b/>
                <w:bCs/>
                <w:sz w:val="22"/>
              </w:rPr>
              <w:t xml:space="preserve"> 3</w:t>
            </w:r>
            <w:r w:rsidRPr="00A8010F">
              <w:rPr>
                <w:b/>
                <w:bCs/>
                <w:sz w:val="22"/>
              </w:rPr>
              <w:t>1</w:t>
            </w:r>
            <w:r w:rsidR="00690897" w:rsidRPr="00A8010F">
              <w:rPr>
                <w:b/>
                <w:bCs/>
                <w:sz w:val="22"/>
              </w:rPr>
              <w:t>,</w:t>
            </w:r>
          </w:p>
        </w:tc>
      </w:tr>
      <w:tr w:rsidR="00690897" w:rsidRPr="0053635E" w:rsidTr="00183789">
        <w:trPr>
          <w:cantSplit/>
          <w:jc w:val="center"/>
        </w:trPr>
        <w:tc>
          <w:tcPr>
            <w:tcW w:w="6260" w:type="dxa"/>
            <w:tcBorders>
              <w:top w:val="nil"/>
              <w:left w:val="nil"/>
              <w:bottom w:val="nil"/>
              <w:right w:val="nil"/>
            </w:tcBorders>
            <w:vAlign w:val="bottom"/>
          </w:tcPr>
          <w:p w:rsidR="00690897" w:rsidRPr="0086603B"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Cs w:val="20"/>
              </w:rPr>
            </w:pPr>
            <w:r w:rsidRPr="0086603B">
              <w:rPr>
                <w:b/>
                <w:bCs/>
                <w:szCs w:val="20"/>
              </w:rPr>
              <w:t>(Dollars in thousands)</w:t>
            </w:r>
          </w:p>
        </w:tc>
        <w:tc>
          <w:tcPr>
            <w:tcW w:w="1227" w:type="dxa"/>
            <w:tcBorders>
              <w:top w:val="nil"/>
              <w:left w:val="nil"/>
              <w:bottom w:val="nil"/>
              <w:right w:val="nil"/>
            </w:tcBorders>
            <w:vAlign w:val="bottom"/>
          </w:tcPr>
          <w:p w:rsidR="00690897" w:rsidRPr="00A8010F" w:rsidRDefault="00690897" w:rsidP="00A8010F">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A8010F">
              <w:rPr>
                <w:b/>
                <w:bCs/>
                <w:sz w:val="22"/>
              </w:rPr>
              <w:t>201</w:t>
            </w:r>
            <w:r w:rsidR="00A8010F" w:rsidRPr="00A8010F">
              <w:rPr>
                <w:b/>
                <w:bCs/>
                <w:sz w:val="22"/>
              </w:rPr>
              <w:t>4</w:t>
            </w:r>
          </w:p>
        </w:tc>
        <w:tc>
          <w:tcPr>
            <w:tcW w:w="1227" w:type="dxa"/>
            <w:tcBorders>
              <w:top w:val="nil"/>
              <w:left w:val="nil"/>
              <w:bottom w:val="nil"/>
              <w:right w:val="nil"/>
            </w:tcBorders>
            <w:vAlign w:val="bottom"/>
          </w:tcPr>
          <w:p w:rsidR="00690897" w:rsidRPr="00A8010F" w:rsidRDefault="00690897" w:rsidP="00A8010F">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A8010F">
              <w:rPr>
                <w:b/>
                <w:bCs/>
                <w:sz w:val="22"/>
              </w:rPr>
              <w:t>201</w:t>
            </w:r>
            <w:r w:rsidR="00A8010F" w:rsidRPr="00A8010F">
              <w:rPr>
                <w:b/>
                <w:bCs/>
                <w:sz w:val="22"/>
              </w:rPr>
              <w:t>3</w:t>
            </w:r>
          </w:p>
        </w:tc>
      </w:tr>
      <w:tr w:rsidR="00690897" w:rsidRPr="0053635E" w:rsidTr="00183789">
        <w:trPr>
          <w:cantSplit/>
          <w:jc w:val="center"/>
        </w:trPr>
        <w:tc>
          <w:tcPr>
            <w:tcW w:w="6260" w:type="dxa"/>
            <w:tcBorders>
              <w:top w:val="nil"/>
              <w:left w:val="nil"/>
              <w:bottom w:val="nil"/>
              <w:right w:val="nil"/>
            </w:tcBorders>
          </w:tcPr>
          <w:p w:rsidR="00690897" w:rsidRPr="00A8010F" w:rsidRDefault="00690897" w:rsidP="000E1DCF">
            <w:pPr>
              <w:tabs>
                <w:tab w:val="right" w:leader="dot" w:pos="5905"/>
              </w:tabs>
              <w:suppressAutoHyphens/>
              <w:ind w:left="200" w:hanging="200"/>
              <w:rPr>
                <w:sz w:val="22"/>
              </w:rPr>
            </w:pPr>
            <w:r w:rsidRPr="00A8010F">
              <w:rPr>
                <w:sz w:val="22"/>
              </w:rPr>
              <w:t>Net cash provided by</w:t>
            </w:r>
            <w:r w:rsidR="002407A2" w:rsidRPr="00A8010F">
              <w:rPr>
                <w:sz w:val="22"/>
              </w:rPr>
              <w:t xml:space="preserve"> </w:t>
            </w:r>
            <w:r w:rsidR="00FF6031">
              <w:rPr>
                <w:sz w:val="22"/>
              </w:rPr>
              <w:t>operating activities</w:t>
            </w:r>
          </w:p>
        </w:tc>
        <w:tc>
          <w:tcPr>
            <w:tcW w:w="1227" w:type="dxa"/>
            <w:tcBorders>
              <w:top w:val="nil"/>
              <w:left w:val="nil"/>
              <w:bottom w:val="nil"/>
              <w:right w:val="nil"/>
            </w:tcBorders>
            <w:vAlign w:val="bottom"/>
          </w:tcPr>
          <w:p w:rsidR="00690897" w:rsidRPr="000E1DCF" w:rsidRDefault="00690897" w:rsidP="007E7F5D">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E1DCF">
              <w:rPr>
                <w:sz w:val="22"/>
              </w:rPr>
              <w:t xml:space="preserve">$      </w:t>
            </w:r>
            <w:r w:rsidR="000E1DCF" w:rsidRPr="000E1DCF">
              <w:rPr>
                <w:sz w:val="22"/>
              </w:rPr>
              <w:t>22</w:t>
            </w:r>
            <w:r w:rsidRPr="000E1DCF">
              <w:rPr>
                <w:sz w:val="22"/>
              </w:rPr>
              <w:t>,</w:t>
            </w:r>
            <w:r w:rsidR="000E1DCF" w:rsidRPr="000E1DCF">
              <w:rPr>
                <w:sz w:val="22"/>
              </w:rPr>
              <w:t>9</w:t>
            </w:r>
            <w:r w:rsidR="007E7F5D">
              <w:rPr>
                <w:sz w:val="22"/>
              </w:rPr>
              <w:t>5</w:t>
            </w:r>
            <w:r w:rsidR="000E1DCF" w:rsidRPr="000E1DCF">
              <w:rPr>
                <w:sz w:val="22"/>
              </w:rPr>
              <w:t>1</w:t>
            </w:r>
          </w:p>
        </w:tc>
        <w:tc>
          <w:tcPr>
            <w:tcW w:w="1227" w:type="dxa"/>
            <w:tcBorders>
              <w:top w:val="nil"/>
              <w:left w:val="nil"/>
              <w:bottom w:val="nil"/>
              <w:right w:val="nil"/>
            </w:tcBorders>
            <w:vAlign w:val="bottom"/>
          </w:tcPr>
          <w:p w:rsidR="00690897" w:rsidRPr="00FF6031" w:rsidRDefault="00690897" w:rsidP="00FF6031">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FF6031">
              <w:rPr>
                <w:sz w:val="22"/>
              </w:rPr>
              <w:t>$</w:t>
            </w:r>
            <w:r w:rsidR="002407A2" w:rsidRPr="00FF6031">
              <w:rPr>
                <w:sz w:val="22"/>
              </w:rPr>
              <w:t xml:space="preserve"> </w:t>
            </w:r>
            <w:r w:rsidRPr="00FF6031">
              <w:rPr>
                <w:sz w:val="22"/>
              </w:rPr>
              <w:t xml:space="preserve">   </w:t>
            </w:r>
            <w:r w:rsidR="00FF6031" w:rsidRPr="00FF6031">
              <w:rPr>
                <w:sz w:val="22"/>
              </w:rPr>
              <w:t xml:space="preserve">    4,415</w:t>
            </w:r>
          </w:p>
        </w:tc>
      </w:tr>
      <w:tr w:rsidR="00690897" w:rsidRPr="0053635E" w:rsidTr="00183789">
        <w:trPr>
          <w:cantSplit/>
          <w:jc w:val="center"/>
        </w:trPr>
        <w:tc>
          <w:tcPr>
            <w:tcW w:w="6260" w:type="dxa"/>
            <w:tcBorders>
              <w:top w:val="nil"/>
              <w:left w:val="nil"/>
              <w:bottom w:val="nil"/>
              <w:right w:val="nil"/>
            </w:tcBorders>
          </w:tcPr>
          <w:p w:rsidR="00690897" w:rsidRPr="00A8010F" w:rsidRDefault="00690897" w:rsidP="00327A44">
            <w:pPr>
              <w:tabs>
                <w:tab w:val="right" w:leader="dot" w:pos="5905"/>
              </w:tabs>
              <w:suppressAutoHyphens/>
              <w:ind w:left="200" w:hanging="200"/>
              <w:rPr>
                <w:sz w:val="22"/>
              </w:rPr>
            </w:pPr>
            <w:r w:rsidRPr="00A8010F">
              <w:rPr>
                <w:sz w:val="22"/>
              </w:rPr>
              <w:t>Net ca</w:t>
            </w:r>
            <w:r w:rsidR="00FF6031">
              <w:rPr>
                <w:sz w:val="22"/>
              </w:rPr>
              <w:t>sh used in investing activities</w:t>
            </w:r>
          </w:p>
        </w:tc>
        <w:tc>
          <w:tcPr>
            <w:tcW w:w="1227" w:type="dxa"/>
            <w:tcBorders>
              <w:top w:val="nil"/>
              <w:left w:val="nil"/>
              <w:bottom w:val="nil"/>
              <w:right w:val="nil"/>
            </w:tcBorders>
            <w:vAlign w:val="bottom"/>
          </w:tcPr>
          <w:p w:rsidR="00690897" w:rsidRPr="000E1DCF" w:rsidRDefault="00690897" w:rsidP="007E7F5D">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E1DCF">
              <w:rPr>
                <w:sz w:val="22"/>
              </w:rPr>
              <w:t>(</w:t>
            </w:r>
            <w:r w:rsidR="000E1DCF" w:rsidRPr="000E1DCF">
              <w:rPr>
                <w:sz w:val="22"/>
              </w:rPr>
              <w:t>9</w:t>
            </w:r>
            <w:r w:rsidRPr="000E1DCF">
              <w:rPr>
                <w:sz w:val="22"/>
              </w:rPr>
              <w:t>,</w:t>
            </w:r>
            <w:r w:rsidR="000E1DCF" w:rsidRPr="000E1DCF">
              <w:rPr>
                <w:sz w:val="22"/>
              </w:rPr>
              <w:t>1</w:t>
            </w:r>
            <w:r w:rsidR="007E7F5D">
              <w:rPr>
                <w:sz w:val="22"/>
              </w:rPr>
              <w:t>7</w:t>
            </w:r>
            <w:r w:rsidR="000E1DCF" w:rsidRPr="000E1DCF">
              <w:rPr>
                <w:sz w:val="22"/>
              </w:rPr>
              <w:t>9</w:t>
            </w:r>
            <w:r w:rsidRPr="000E1DCF">
              <w:rPr>
                <w:sz w:val="22"/>
              </w:rPr>
              <w:t>)</w:t>
            </w:r>
          </w:p>
        </w:tc>
        <w:tc>
          <w:tcPr>
            <w:tcW w:w="1227" w:type="dxa"/>
            <w:tcBorders>
              <w:top w:val="nil"/>
              <w:left w:val="nil"/>
              <w:bottom w:val="nil"/>
              <w:right w:val="nil"/>
            </w:tcBorders>
            <w:vAlign w:val="bottom"/>
          </w:tcPr>
          <w:p w:rsidR="00690897" w:rsidRPr="00FF6031" w:rsidRDefault="00690897" w:rsidP="00FF6031">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FF6031">
              <w:rPr>
                <w:sz w:val="22"/>
              </w:rPr>
              <w:t>(</w:t>
            </w:r>
            <w:r w:rsidR="00FF6031" w:rsidRPr="00FF6031">
              <w:rPr>
                <w:sz w:val="22"/>
              </w:rPr>
              <w:t>31</w:t>
            </w:r>
            <w:r w:rsidRPr="00FF6031">
              <w:rPr>
                <w:sz w:val="22"/>
              </w:rPr>
              <w:t>,</w:t>
            </w:r>
            <w:r w:rsidR="00FF6031" w:rsidRPr="00FF6031">
              <w:rPr>
                <w:sz w:val="22"/>
              </w:rPr>
              <w:t>966</w:t>
            </w:r>
            <w:r w:rsidRPr="00FF6031">
              <w:rPr>
                <w:sz w:val="22"/>
              </w:rPr>
              <w:t>)</w:t>
            </w:r>
          </w:p>
        </w:tc>
      </w:tr>
      <w:tr w:rsidR="00690897" w:rsidRPr="0053635E" w:rsidTr="00183789">
        <w:trPr>
          <w:cantSplit/>
          <w:jc w:val="center"/>
        </w:trPr>
        <w:tc>
          <w:tcPr>
            <w:tcW w:w="6260" w:type="dxa"/>
            <w:tcBorders>
              <w:top w:val="nil"/>
              <w:left w:val="nil"/>
              <w:bottom w:val="nil"/>
              <w:right w:val="nil"/>
            </w:tcBorders>
          </w:tcPr>
          <w:p w:rsidR="00690897" w:rsidRPr="00A8010F" w:rsidRDefault="00690897" w:rsidP="00D56C55">
            <w:pPr>
              <w:tabs>
                <w:tab w:val="right" w:leader="dot" w:pos="5905"/>
              </w:tabs>
              <w:suppressAutoHyphens/>
              <w:ind w:left="200" w:hanging="200"/>
              <w:rPr>
                <w:sz w:val="22"/>
              </w:rPr>
            </w:pPr>
            <w:r w:rsidRPr="00A8010F">
              <w:rPr>
                <w:sz w:val="22"/>
              </w:rPr>
              <w:t xml:space="preserve">Net cash </w:t>
            </w:r>
            <w:r w:rsidR="000E1DCF">
              <w:rPr>
                <w:sz w:val="22"/>
              </w:rPr>
              <w:t xml:space="preserve">(used in) </w:t>
            </w:r>
            <w:r w:rsidRPr="00A8010F">
              <w:rPr>
                <w:sz w:val="22"/>
              </w:rPr>
              <w:t>p</w:t>
            </w:r>
            <w:r w:rsidR="00FF6031">
              <w:rPr>
                <w:sz w:val="22"/>
              </w:rPr>
              <w:t>rovided by financing activities</w:t>
            </w:r>
          </w:p>
        </w:tc>
        <w:tc>
          <w:tcPr>
            <w:tcW w:w="1227" w:type="dxa"/>
            <w:tcBorders>
              <w:top w:val="nil"/>
              <w:left w:val="nil"/>
              <w:bottom w:val="nil"/>
              <w:right w:val="nil"/>
            </w:tcBorders>
            <w:vAlign w:val="bottom"/>
          </w:tcPr>
          <w:p w:rsidR="00690897" w:rsidRPr="000E1DCF" w:rsidRDefault="000E1DCF" w:rsidP="000E1DC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0E1DCF">
              <w:rPr>
                <w:sz w:val="22"/>
              </w:rPr>
              <w:t>(19</w:t>
            </w:r>
            <w:r w:rsidR="00690897" w:rsidRPr="000E1DCF">
              <w:rPr>
                <w:sz w:val="22"/>
              </w:rPr>
              <w:t>,</w:t>
            </w:r>
            <w:r w:rsidRPr="000E1DCF">
              <w:rPr>
                <w:sz w:val="22"/>
              </w:rPr>
              <w:t>329)</w:t>
            </w:r>
          </w:p>
        </w:tc>
        <w:tc>
          <w:tcPr>
            <w:tcW w:w="1227" w:type="dxa"/>
            <w:tcBorders>
              <w:top w:val="nil"/>
              <w:left w:val="nil"/>
              <w:bottom w:val="nil"/>
              <w:right w:val="nil"/>
            </w:tcBorders>
            <w:vAlign w:val="bottom"/>
          </w:tcPr>
          <w:p w:rsidR="00690897" w:rsidRPr="00FF6031" w:rsidRDefault="00FF6031" w:rsidP="00FF6031">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FF6031">
              <w:rPr>
                <w:sz w:val="22"/>
              </w:rPr>
              <w:t>22</w:t>
            </w:r>
            <w:r w:rsidR="00690897" w:rsidRPr="00FF6031">
              <w:rPr>
                <w:sz w:val="22"/>
              </w:rPr>
              <w:t>,</w:t>
            </w:r>
            <w:r w:rsidRPr="00FF6031">
              <w:rPr>
                <w:sz w:val="22"/>
              </w:rPr>
              <w:t>873</w:t>
            </w:r>
          </w:p>
        </w:tc>
      </w:tr>
      <w:tr w:rsidR="00690897" w:rsidRPr="0053635E" w:rsidTr="006F2ABA">
        <w:trPr>
          <w:cantSplit/>
          <w:jc w:val="center"/>
        </w:trPr>
        <w:tc>
          <w:tcPr>
            <w:tcW w:w="6260" w:type="dxa"/>
            <w:tcBorders>
              <w:top w:val="nil"/>
              <w:left w:val="nil"/>
              <w:bottom w:val="nil"/>
              <w:right w:val="nil"/>
            </w:tcBorders>
          </w:tcPr>
          <w:p w:rsidR="00690897" w:rsidRPr="00A8010F" w:rsidRDefault="00690897" w:rsidP="00690897">
            <w:pPr>
              <w:tabs>
                <w:tab w:val="right" w:leader="dot" w:pos="5905"/>
              </w:tabs>
              <w:suppressAutoHyphens/>
              <w:spacing w:after="20"/>
              <w:ind w:left="200" w:hanging="200"/>
              <w:rPr>
                <w:sz w:val="22"/>
              </w:rPr>
            </w:pPr>
            <w:r w:rsidRPr="00A8010F">
              <w:rPr>
                <w:sz w:val="22"/>
              </w:rPr>
              <w:t>Effect of changes in exchange rat</w:t>
            </w:r>
            <w:r w:rsidR="00FF6031">
              <w:rPr>
                <w:sz w:val="22"/>
              </w:rPr>
              <w:t>es on cash and cash equivalents</w:t>
            </w:r>
          </w:p>
        </w:tc>
        <w:tc>
          <w:tcPr>
            <w:tcW w:w="1227" w:type="dxa"/>
            <w:tcBorders>
              <w:top w:val="nil"/>
              <w:left w:val="nil"/>
              <w:right w:val="nil"/>
            </w:tcBorders>
            <w:vAlign w:val="bottom"/>
          </w:tcPr>
          <w:p w:rsidR="00690897" w:rsidRPr="000E1DCF" w:rsidRDefault="00690897" w:rsidP="000E1DCF">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0E1DCF">
              <w:rPr>
                <w:sz w:val="22"/>
              </w:rPr>
              <w:t>(</w:t>
            </w:r>
            <w:r w:rsidR="000E1DCF" w:rsidRPr="000E1DCF">
              <w:rPr>
                <w:sz w:val="22"/>
              </w:rPr>
              <w:t>171</w:t>
            </w:r>
            <w:r w:rsidRPr="000E1DCF">
              <w:rPr>
                <w:sz w:val="22"/>
              </w:rPr>
              <w:t>)</w:t>
            </w:r>
          </w:p>
        </w:tc>
        <w:tc>
          <w:tcPr>
            <w:tcW w:w="1227" w:type="dxa"/>
            <w:tcBorders>
              <w:top w:val="nil"/>
              <w:left w:val="nil"/>
              <w:right w:val="nil"/>
            </w:tcBorders>
            <w:vAlign w:val="bottom"/>
          </w:tcPr>
          <w:p w:rsidR="00690897" w:rsidRPr="00FF6031" w:rsidRDefault="00FF6031" w:rsidP="00FF6031">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FF6031">
              <w:rPr>
                <w:sz w:val="22"/>
              </w:rPr>
              <w:t>(131)</w:t>
            </w:r>
          </w:p>
        </w:tc>
      </w:tr>
      <w:tr w:rsidR="006F2ABA" w:rsidRPr="005053C7" w:rsidTr="006F2ABA">
        <w:trPr>
          <w:cantSplit/>
          <w:jc w:val="center"/>
        </w:trPr>
        <w:tc>
          <w:tcPr>
            <w:tcW w:w="6260" w:type="dxa"/>
            <w:tcBorders>
              <w:top w:val="nil"/>
              <w:left w:val="nil"/>
              <w:bottom w:val="nil"/>
              <w:right w:val="nil"/>
            </w:tcBorders>
          </w:tcPr>
          <w:p w:rsidR="006F2ABA" w:rsidRPr="005053C7" w:rsidRDefault="006F2ABA" w:rsidP="00690897">
            <w:pPr>
              <w:tabs>
                <w:tab w:val="right" w:leader="dot" w:pos="5905"/>
              </w:tabs>
              <w:suppressAutoHyphens/>
              <w:spacing w:after="20"/>
              <w:ind w:left="200" w:hanging="200"/>
              <w:rPr>
                <w:bCs/>
                <w:sz w:val="22"/>
              </w:rPr>
            </w:pPr>
            <w:r w:rsidRPr="005053C7">
              <w:rPr>
                <w:bCs/>
                <w:sz w:val="22"/>
              </w:rPr>
              <w:t>Net decrease in cash and cash equivalents</w:t>
            </w:r>
          </w:p>
        </w:tc>
        <w:tc>
          <w:tcPr>
            <w:tcW w:w="1227" w:type="dxa"/>
            <w:tcBorders>
              <w:top w:val="nil"/>
              <w:left w:val="nil"/>
              <w:right w:val="nil"/>
            </w:tcBorders>
            <w:vAlign w:val="bottom"/>
          </w:tcPr>
          <w:p w:rsidR="006F2ABA" w:rsidRPr="00450017" w:rsidRDefault="006F2ABA" w:rsidP="00450017">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450017">
              <w:rPr>
                <w:sz w:val="22"/>
              </w:rPr>
              <w:t>$      (5,728)</w:t>
            </w:r>
          </w:p>
        </w:tc>
        <w:tc>
          <w:tcPr>
            <w:tcW w:w="1227" w:type="dxa"/>
            <w:tcBorders>
              <w:top w:val="nil"/>
              <w:left w:val="nil"/>
              <w:right w:val="nil"/>
            </w:tcBorders>
            <w:vAlign w:val="bottom"/>
          </w:tcPr>
          <w:p w:rsidR="006F2ABA" w:rsidRPr="00450017" w:rsidRDefault="006F2ABA" w:rsidP="00450017">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450017">
              <w:rPr>
                <w:sz w:val="22"/>
              </w:rPr>
              <w:t>$      (4,809)</w:t>
            </w:r>
          </w:p>
        </w:tc>
      </w:tr>
    </w:tbl>
    <w:p w:rsidR="001836F1" w:rsidRDefault="001836F1" w:rsidP="00822B62">
      <w:pPr>
        <w:keepNext/>
        <w:keepLines/>
        <w:tabs>
          <w:tab w:val="left" w:pos="-720"/>
          <w:tab w:val="left" w:pos="720"/>
          <w:tab w:val="left" w:pos="1440"/>
        </w:tabs>
        <w:suppressAutoHyphens/>
        <w:spacing w:before="240" w:after="240"/>
        <w:rPr>
          <w:b/>
          <w:bCs/>
          <w:sz w:val="22"/>
        </w:rPr>
      </w:pPr>
    </w:p>
    <w:p w:rsidR="00822B62" w:rsidRPr="00A21C94" w:rsidRDefault="00690897" w:rsidP="00822B62">
      <w:pPr>
        <w:keepNext/>
        <w:keepLines/>
        <w:tabs>
          <w:tab w:val="left" w:pos="-720"/>
          <w:tab w:val="left" w:pos="720"/>
          <w:tab w:val="left" w:pos="1440"/>
        </w:tabs>
        <w:suppressAutoHyphens/>
        <w:spacing w:before="240" w:after="240"/>
        <w:rPr>
          <w:b/>
          <w:bCs/>
          <w:sz w:val="22"/>
        </w:rPr>
      </w:pPr>
      <w:r w:rsidRPr="00A21C94">
        <w:rPr>
          <w:b/>
          <w:bCs/>
          <w:sz w:val="22"/>
        </w:rPr>
        <w:t xml:space="preserve">Comparison of the </w:t>
      </w:r>
      <w:r w:rsidR="00A21C94" w:rsidRPr="00A21C94">
        <w:rPr>
          <w:b/>
          <w:bCs/>
          <w:sz w:val="22"/>
        </w:rPr>
        <w:t>three</w:t>
      </w:r>
      <w:r w:rsidRPr="00A21C94">
        <w:rPr>
          <w:b/>
          <w:bCs/>
          <w:sz w:val="22"/>
        </w:rPr>
        <w:t xml:space="preserve"> months ended </w:t>
      </w:r>
      <w:r w:rsidR="00A21C94" w:rsidRPr="00A21C94">
        <w:rPr>
          <w:b/>
          <w:bCs/>
          <w:sz w:val="22"/>
        </w:rPr>
        <w:t>March</w:t>
      </w:r>
      <w:r w:rsidRPr="00A21C94">
        <w:rPr>
          <w:b/>
          <w:bCs/>
          <w:sz w:val="22"/>
        </w:rPr>
        <w:t> 3</w:t>
      </w:r>
      <w:r w:rsidR="00A21C94" w:rsidRPr="00A21C94">
        <w:rPr>
          <w:b/>
          <w:bCs/>
          <w:sz w:val="22"/>
        </w:rPr>
        <w:t>1</w:t>
      </w:r>
      <w:r w:rsidRPr="00A21C94">
        <w:rPr>
          <w:b/>
          <w:bCs/>
          <w:sz w:val="22"/>
        </w:rPr>
        <w:t>, 201</w:t>
      </w:r>
      <w:r w:rsidR="00A21C94" w:rsidRPr="00A21C94">
        <w:rPr>
          <w:b/>
          <w:bCs/>
          <w:sz w:val="22"/>
        </w:rPr>
        <w:t>4</w:t>
      </w:r>
      <w:r w:rsidRPr="00A21C94">
        <w:rPr>
          <w:b/>
          <w:bCs/>
          <w:sz w:val="22"/>
        </w:rPr>
        <w:t xml:space="preserve"> to the </w:t>
      </w:r>
      <w:r w:rsidR="00A21C94" w:rsidRPr="00A21C94">
        <w:rPr>
          <w:b/>
          <w:bCs/>
          <w:sz w:val="22"/>
        </w:rPr>
        <w:t>three</w:t>
      </w:r>
      <w:r w:rsidR="00047443" w:rsidRPr="00A21C94">
        <w:rPr>
          <w:b/>
          <w:bCs/>
          <w:sz w:val="22"/>
        </w:rPr>
        <w:t xml:space="preserve"> </w:t>
      </w:r>
      <w:r w:rsidRPr="00A21C94">
        <w:rPr>
          <w:b/>
          <w:bCs/>
          <w:sz w:val="22"/>
        </w:rPr>
        <w:t xml:space="preserve">months ended </w:t>
      </w:r>
      <w:r w:rsidR="00A21C94" w:rsidRPr="00A21C94">
        <w:rPr>
          <w:b/>
          <w:bCs/>
          <w:sz w:val="22"/>
        </w:rPr>
        <w:t>March</w:t>
      </w:r>
      <w:r w:rsidRPr="00A21C94">
        <w:rPr>
          <w:b/>
          <w:bCs/>
          <w:sz w:val="22"/>
        </w:rPr>
        <w:t> 3</w:t>
      </w:r>
      <w:r w:rsidR="00A21C94" w:rsidRPr="00A21C94">
        <w:rPr>
          <w:b/>
          <w:bCs/>
          <w:sz w:val="22"/>
        </w:rPr>
        <w:t>1</w:t>
      </w:r>
      <w:r w:rsidRPr="00A21C94">
        <w:rPr>
          <w:b/>
          <w:bCs/>
          <w:sz w:val="22"/>
        </w:rPr>
        <w:t>, 201</w:t>
      </w:r>
      <w:r w:rsidR="00A21C94" w:rsidRPr="00A21C94">
        <w:rPr>
          <w:b/>
          <w:bCs/>
          <w:sz w:val="22"/>
        </w:rPr>
        <w:t>3</w:t>
      </w:r>
    </w:p>
    <w:p w:rsidR="00A21C94" w:rsidRPr="001836F1" w:rsidRDefault="00822B62" w:rsidP="001836F1">
      <w:pPr>
        <w:tabs>
          <w:tab w:val="left" w:pos="-720"/>
        </w:tabs>
        <w:suppressAutoHyphens/>
        <w:spacing w:after="240"/>
        <w:ind w:firstLine="720"/>
        <w:jc w:val="both"/>
        <w:rPr>
          <w:sz w:val="22"/>
        </w:rPr>
      </w:pPr>
      <w:r w:rsidRPr="00A21C94">
        <w:rPr>
          <w:sz w:val="22"/>
        </w:rPr>
        <w:t>N</w:t>
      </w:r>
      <w:r w:rsidR="00690897" w:rsidRPr="00A21C94">
        <w:rPr>
          <w:sz w:val="22"/>
        </w:rPr>
        <w:t xml:space="preserve">et cash provided by operating activities </w:t>
      </w:r>
      <w:r w:rsidR="00690897" w:rsidRPr="004119A3">
        <w:rPr>
          <w:sz w:val="22"/>
        </w:rPr>
        <w:t>was $</w:t>
      </w:r>
      <w:r w:rsidR="004119A3" w:rsidRPr="004119A3">
        <w:rPr>
          <w:sz w:val="22"/>
        </w:rPr>
        <w:t>2</w:t>
      </w:r>
      <w:r w:rsidR="007E7F5D">
        <w:rPr>
          <w:sz w:val="22"/>
        </w:rPr>
        <w:t>3</w:t>
      </w:r>
      <w:r w:rsidR="004119A3" w:rsidRPr="004119A3">
        <w:rPr>
          <w:sz w:val="22"/>
        </w:rPr>
        <w:t>.</w:t>
      </w:r>
      <w:r w:rsidR="007E7F5D">
        <w:rPr>
          <w:sz w:val="22"/>
        </w:rPr>
        <w:t>0</w:t>
      </w:r>
      <w:r w:rsidR="00690897" w:rsidRPr="004119A3">
        <w:rPr>
          <w:sz w:val="22"/>
        </w:rPr>
        <w:t xml:space="preserve"> million for the </w:t>
      </w:r>
      <w:r w:rsidR="00A21C94" w:rsidRPr="004119A3">
        <w:rPr>
          <w:sz w:val="22"/>
        </w:rPr>
        <w:t>three</w:t>
      </w:r>
      <w:r w:rsidR="00690897" w:rsidRPr="00A21C94">
        <w:rPr>
          <w:sz w:val="22"/>
        </w:rPr>
        <w:t xml:space="preserve"> months ended </w:t>
      </w:r>
      <w:r w:rsidR="00A21C94">
        <w:rPr>
          <w:sz w:val="22"/>
        </w:rPr>
        <w:t>March</w:t>
      </w:r>
      <w:r w:rsidR="00690897" w:rsidRPr="00A21C94">
        <w:rPr>
          <w:sz w:val="22"/>
        </w:rPr>
        <w:t xml:space="preserve"> 3</w:t>
      </w:r>
      <w:r w:rsidR="00A21C94">
        <w:rPr>
          <w:sz w:val="22"/>
        </w:rPr>
        <w:t>1</w:t>
      </w:r>
      <w:r w:rsidR="00690897" w:rsidRPr="00A21C94">
        <w:rPr>
          <w:sz w:val="22"/>
        </w:rPr>
        <w:t>, 201</w:t>
      </w:r>
      <w:r w:rsidR="00A21C94">
        <w:rPr>
          <w:sz w:val="22"/>
        </w:rPr>
        <w:t>4</w:t>
      </w:r>
      <w:r w:rsidR="00690897" w:rsidRPr="00A21C94">
        <w:rPr>
          <w:sz w:val="22"/>
        </w:rPr>
        <w:t xml:space="preserve"> compared to</w:t>
      </w:r>
      <w:r w:rsidR="0062447C" w:rsidRPr="00A21C94">
        <w:rPr>
          <w:sz w:val="22"/>
        </w:rPr>
        <w:t xml:space="preserve"> </w:t>
      </w:r>
      <w:r w:rsidR="00690897" w:rsidRPr="00A21C94">
        <w:rPr>
          <w:sz w:val="22"/>
        </w:rPr>
        <w:t>$</w:t>
      </w:r>
      <w:r w:rsidR="00A21C94">
        <w:rPr>
          <w:sz w:val="22"/>
        </w:rPr>
        <w:t>4.4</w:t>
      </w:r>
      <w:r w:rsidR="00690897" w:rsidRPr="00A21C94">
        <w:rPr>
          <w:sz w:val="22"/>
        </w:rPr>
        <w:t xml:space="preserve"> million for the </w:t>
      </w:r>
      <w:r w:rsidR="00A21C94">
        <w:rPr>
          <w:sz w:val="22"/>
        </w:rPr>
        <w:t>three</w:t>
      </w:r>
      <w:r w:rsidR="00690897" w:rsidRPr="00A21C94">
        <w:rPr>
          <w:sz w:val="22"/>
        </w:rPr>
        <w:t xml:space="preserve"> months ended </w:t>
      </w:r>
      <w:r w:rsidR="00A21C94">
        <w:rPr>
          <w:sz w:val="22"/>
        </w:rPr>
        <w:t>March</w:t>
      </w:r>
      <w:r w:rsidR="00690897" w:rsidRPr="00A21C94">
        <w:rPr>
          <w:sz w:val="22"/>
        </w:rPr>
        <w:t> 3</w:t>
      </w:r>
      <w:r w:rsidR="00A21C94">
        <w:rPr>
          <w:sz w:val="22"/>
        </w:rPr>
        <w:t>1</w:t>
      </w:r>
      <w:r w:rsidR="00690897" w:rsidRPr="00A21C94">
        <w:rPr>
          <w:sz w:val="22"/>
        </w:rPr>
        <w:t>, 201</w:t>
      </w:r>
      <w:r w:rsidR="00A21C94">
        <w:rPr>
          <w:sz w:val="22"/>
        </w:rPr>
        <w:t>3</w:t>
      </w:r>
      <w:r w:rsidR="00690897" w:rsidRPr="00A21C94">
        <w:rPr>
          <w:sz w:val="22"/>
        </w:rPr>
        <w:t xml:space="preserve">, </w:t>
      </w:r>
      <w:r w:rsidR="00690897" w:rsidRPr="004119A3">
        <w:rPr>
          <w:sz w:val="22"/>
        </w:rPr>
        <w:t>a</w:t>
      </w:r>
      <w:r w:rsidR="001435F7" w:rsidRPr="004119A3">
        <w:rPr>
          <w:sz w:val="22"/>
        </w:rPr>
        <w:t>n increase</w:t>
      </w:r>
      <w:r w:rsidR="00690897" w:rsidRPr="004119A3">
        <w:rPr>
          <w:sz w:val="22"/>
        </w:rPr>
        <w:t xml:space="preserve"> of $</w:t>
      </w:r>
      <w:r w:rsidR="004119A3" w:rsidRPr="004119A3">
        <w:rPr>
          <w:sz w:val="22"/>
        </w:rPr>
        <w:t>18.</w:t>
      </w:r>
      <w:r w:rsidR="007E7F5D">
        <w:rPr>
          <w:sz w:val="22"/>
        </w:rPr>
        <w:t>6</w:t>
      </w:r>
      <w:r w:rsidR="00690897" w:rsidRPr="004119A3">
        <w:rPr>
          <w:sz w:val="22"/>
        </w:rPr>
        <w:t> million.</w:t>
      </w:r>
      <w:r w:rsidR="001836F1" w:rsidRPr="001836F1">
        <w:rPr>
          <w:sz w:val="22"/>
        </w:rPr>
        <w:t xml:space="preserve"> </w:t>
      </w:r>
      <w:r w:rsidR="00270E2D">
        <w:rPr>
          <w:sz w:val="22"/>
        </w:rPr>
        <w:t>This increase was primarily due to a $21.8 million increase in revenues, partially offset by a $10.8 million increase in direct operating costs and selling, general and administrative expenses.  Additionally, cash provided by working capital increased by $9.1 million.</w:t>
      </w:r>
    </w:p>
    <w:p w:rsidR="001836F1" w:rsidRDefault="00690897" w:rsidP="00962BDB">
      <w:pPr>
        <w:tabs>
          <w:tab w:val="left" w:pos="-720"/>
        </w:tabs>
        <w:suppressAutoHyphens/>
        <w:spacing w:after="240"/>
        <w:ind w:firstLine="720"/>
        <w:jc w:val="both"/>
        <w:rPr>
          <w:sz w:val="22"/>
        </w:rPr>
      </w:pPr>
      <w:r w:rsidRPr="00A21C94">
        <w:rPr>
          <w:sz w:val="22"/>
        </w:rPr>
        <w:t xml:space="preserve">Net cash used in investing activities </w:t>
      </w:r>
      <w:r w:rsidRPr="00CC4B64">
        <w:rPr>
          <w:sz w:val="22"/>
        </w:rPr>
        <w:t>was $</w:t>
      </w:r>
      <w:r w:rsidR="00CC4B64" w:rsidRPr="00CC4B64">
        <w:rPr>
          <w:sz w:val="22"/>
        </w:rPr>
        <w:t>9.</w:t>
      </w:r>
      <w:r w:rsidR="007E7F5D">
        <w:rPr>
          <w:sz w:val="22"/>
        </w:rPr>
        <w:t>2</w:t>
      </w:r>
      <w:r w:rsidRPr="00CC4B64">
        <w:rPr>
          <w:sz w:val="22"/>
        </w:rPr>
        <w:t xml:space="preserve"> million for the </w:t>
      </w:r>
      <w:r w:rsidR="00A21C94" w:rsidRPr="00CC4B64">
        <w:rPr>
          <w:sz w:val="22"/>
        </w:rPr>
        <w:t>three</w:t>
      </w:r>
      <w:r w:rsidRPr="00CC4B64">
        <w:rPr>
          <w:sz w:val="22"/>
        </w:rPr>
        <w:t xml:space="preserve"> months ended </w:t>
      </w:r>
      <w:r w:rsidR="00A21C94" w:rsidRPr="00CC4B64">
        <w:rPr>
          <w:sz w:val="22"/>
        </w:rPr>
        <w:t>March</w:t>
      </w:r>
      <w:r w:rsidRPr="00CC4B64">
        <w:rPr>
          <w:sz w:val="22"/>
        </w:rPr>
        <w:t xml:space="preserve"> 3</w:t>
      </w:r>
      <w:r w:rsidR="00A21C94" w:rsidRPr="00CC4B64">
        <w:rPr>
          <w:sz w:val="22"/>
        </w:rPr>
        <w:t>1</w:t>
      </w:r>
      <w:r w:rsidRPr="00CC4B64">
        <w:rPr>
          <w:sz w:val="22"/>
        </w:rPr>
        <w:t>, 201</w:t>
      </w:r>
      <w:r w:rsidR="00A21C94" w:rsidRPr="00CC4B64">
        <w:rPr>
          <w:sz w:val="22"/>
        </w:rPr>
        <w:t>4</w:t>
      </w:r>
      <w:r w:rsidRPr="00A21C94">
        <w:rPr>
          <w:sz w:val="22"/>
        </w:rPr>
        <w:t xml:space="preserve"> compared to $</w:t>
      </w:r>
      <w:r w:rsidR="00A21C94">
        <w:rPr>
          <w:sz w:val="22"/>
        </w:rPr>
        <w:t>32.0</w:t>
      </w:r>
      <w:r w:rsidRPr="00A21C94">
        <w:rPr>
          <w:sz w:val="22"/>
        </w:rPr>
        <w:t xml:space="preserve"> million for the </w:t>
      </w:r>
      <w:r w:rsidR="00A21C94">
        <w:rPr>
          <w:sz w:val="22"/>
        </w:rPr>
        <w:t>three</w:t>
      </w:r>
      <w:r w:rsidRPr="00A21C94">
        <w:rPr>
          <w:sz w:val="22"/>
        </w:rPr>
        <w:t xml:space="preserve"> months ended </w:t>
      </w:r>
      <w:r w:rsidR="00A21C94">
        <w:rPr>
          <w:sz w:val="22"/>
        </w:rPr>
        <w:t>March</w:t>
      </w:r>
      <w:r w:rsidRPr="00A21C94">
        <w:rPr>
          <w:sz w:val="22"/>
        </w:rPr>
        <w:t> 3</w:t>
      </w:r>
      <w:r w:rsidR="00A21C94">
        <w:rPr>
          <w:sz w:val="22"/>
        </w:rPr>
        <w:t>1</w:t>
      </w:r>
      <w:r w:rsidRPr="00A21C94">
        <w:rPr>
          <w:sz w:val="22"/>
        </w:rPr>
        <w:t xml:space="preserve">, </w:t>
      </w:r>
      <w:r w:rsidRPr="00CC4B64">
        <w:rPr>
          <w:sz w:val="22"/>
        </w:rPr>
        <w:t>201</w:t>
      </w:r>
      <w:r w:rsidR="00A21C94" w:rsidRPr="00CC4B64">
        <w:rPr>
          <w:sz w:val="22"/>
        </w:rPr>
        <w:t>3</w:t>
      </w:r>
      <w:r w:rsidRPr="00CC4B64">
        <w:rPr>
          <w:sz w:val="22"/>
        </w:rPr>
        <w:t>, a $</w:t>
      </w:r>
      <w:r w:rsidR="00CC4B64" w:rsidRPr="00CC4B64">
        <w:rPr>
          <w:sz w:val="22"/>
        </w:rPr>
        <w:t>22.</w:t>
      </w:r>
      <w:r w:rsidR="007E7F5D">
        <w:rPr>
          <w:sz w:val="22"/>
        </w:rPr>
        <w:t>8</w:t>
      </w:r>
      <w:r w:rsidRPr="00CC4B64">
        <w:rPr>
          <w:sz w:val="22"/>
        </w:rPr>
        <w:t xml:space="preserve"> million </w:t>
      </w:r>
      <w:r w:rsidR="00B631B0">
        <w:rPr>
          <w:sz w:val="22"/>
        </w:rPr>
        <w:t>de</w:t>
      </w:r>
      <w:r w:rsidRPr="00CC4B64">
        <w:rPr>
          <w:sz w:val="22"/>
        </w:rPr>
        <w:t xml:space="preserve">crease in cash </w:t>
      </w:r>
      <w:r w:rsidR="00B631B0">
        <w:rPr>
          <w:sz w:val="22"/>
        </w:rPr>
        <w:t>out-</w:t>
      </w:r>
      <w:r w:rsidRPr="00CC4B64">
        <w:rPr>
          <w:sz w:val="22"/>
        </w:rPr>
        <w:t>flow</w:t>
      </w:r>
      <w:r w:rsidR="00B631B0">
        <w:rPr>
          <w:sz w:val="22"/>
        </w:rPr>
        <w:t>s</w:t>
      </w:r>
      <w:r w:rsidRPr="00CC4B64">
        <w:rPr>
          <w:sz w:val="22"/>
        </w:rPr>
        <w:t xml:space="preserve">. The </w:t>
      </w:r>
      <w:r w:rsidR="00B631B0">
        <w:rPr>
          <w:sz w:val="22"/>
        </w:rPr>
        <w:t>de</w:t>
      </w:r>
      <w:r w:rsidRPr="00CC4B64">
        <w:rPr>
          <w:sz w:val="22"/>
        </w:rPr>
        <w:t>crease was primarily driven by a $</w:t>
      </w:r>
      <w:r w:rsidR="00CC4B64" w:rsidRPr="00CC4B64">
        <w:rPr>
          <w:sz w:val="22"/>
        </w:rPr>
        <w:t>17.</w:t>
      </w:r>
      <w:r w:rsidR="007E7F5D">
        <w:rPr>
          <w:sz w:val="22"/>
        </w:rPr>
        <w:t>9</w:t>
      </w:r>
      <w:r w:rsidRPr="00CC4B64">
        <w:rPr>
          <w:sz w:val="22"/>
        </w:rPr>
        <w:t xml:space="preserve"> million </w:t>
      </w:r>
      <w:r w:rsidR="00CC4B64" w:rsidRPr="00CC4B64">
        <w:rPr>
          <w:sz w:val="22"/>
        </w:rPr>
        <w:t>de</w:t>
      </w:r>
      <w:r w:rsidRPr="00CC4B64">
        <w:rPr>
          <w:sz w:val="22"/>
        </w:rPr>
        <w:t xml:space="preserve">crease in capital spending </w:t>
      </w:r>
      <w:r w:rsidR="00CC4B64" w:rsidRPr="00CC4B64">
        <w:rPr>
          <w:sz w:val="22"/>
        </w:rPr>
        <w:t>coupled with</w:t>
      </w:r>
      <w:r w:rsidRPr="00CC4B64">
        <w:rPr>
          <w:sz w:val="22"/>
        </w:rPr>
        <w:t xml:space="preserve"> a $</w:t>
      </w:r>
      <w:r w:rsidR="00CC4B64" w:rsidRPr="00CC4B64">
        <w:rPr>
          <w:sz w:val="22"/>
        </w:rPr>
        <w:t>5.2</w:t>
      </w:r>
      <w:r w:rsidRPr="00CC4B64">
        <w:rPr>
          <w:sz w:val="22"/>
        </w:rPr>
        <w:t xml:space="preserve"> million increase in proceeds from the sales of leasing equipment in the first </w:t>
      </w:r>
      <w:r w:rsidR="00CC4B64" w:rsidRPr="00CC4B64">
        <w:rPr>
          <w:sz w:val="22"/>
        </w:rPr>
        <w:t>three</w:t>
      </w:r>
      <w:r w:rsidR="00353DAD" w:rsidRPr="00CC4B64">
        <w:rPr>
          <w:sz w:val="22"/>
        </w:rPr>
        <w:t xml:space="preserve"> months</w:t>
      </w:r>
      <w:r w:rsidRPr="00CC4B64">
        <w:rPr>
          <w:sz w:val="22"/>
        </w:rPr>
        <w:t xml:space="preserve"> of 201</w:t>
      </w:r>
      <w:r w:rsidR="00CC4B64" w:rsidRPr="00CC4B64">
        <w:rPr>
          <w:sz w:val="22"/>
        </w:rPr>
        <w:t>4</w:t>
      </w:r>
      <w:r w:rsidRPr="00CC4B64">
        <w:rPr>
          <w:sz w:val="22"/>
        </w:rPr>
        <w:t>.</w:t>
      </w:r>
    </w:p>
    <w:p w:rsidR="00660ABB" w:rsidRDefault="00660ABB" w:rsidP="00962BDB">
      <w:pPr>
        <w:tabs>
          <w:tab w:val="left" w:pos="-720"/>
        </w:tabs>
        <w:suppressAutoHyphens/>
        <w:spacing w:after="240"/>
        <w:ind w:firstLine="720"/>
        <w:jc w:val="both"/>
        <w:rPr>
          <w:sz w:val="22"/>
        </w:rPr>
      </w:pPr>
    </w:p>
    <w:p w:rsidR="00660ABB" w:rsidRPr="00CC4B64" w:rsidRDefault="00660ABB" w:rsidP="00962BDB">
      <w:pPr>
        <w:tabs>
          <w:tab w:val="left" w:pos="-720"/>
        </w:tabs>
        <w:suppressAutoHyphens/>
        <w:spacing w:after="240"/>
        <w:ind w:firstLine="720"/>
        <w:jc w:val="both"/>
        <w:rPr>
          <w:sz w:val="22"/>
        </w:rPr>
      </w:pPr>
    </w:p>
    <w:p w:rsidR="00CE2FB3" w:rsidRPr="00911FE3" w:rsidRDefault="00690897" w:rsidP="001435F7">
      <w:pPr>
        <w:tabs>
          <w:tab w:val="left" w:pos="-720"/>
        </w:tabs>
        <w:suppressAutoHyphens/>
        <w:spacing w:after="240"/>
        <w:ind w:firstLine="720"/>
        <w:jc w:val="both"/>
        <w:rPr>
          <w:sz w:val="22"/>
        </w:rPr>
      </w:pPr>
      <w:r w:rsidRPr="00A21C94">
        <w:rPr>
          <w:sz w:val="22"/>
        </w:rPr>
        <w:lastRenderedPageBreak/>
        <w:t xml:space="preserve">Net cash </w:t>
      </w:r>
      <w:r w:rsidR="00CC4B64">
        <w:rPr>
          <w:sz w:val="22"/>
        </w:rPr>
        <w:t>used in</w:t>
      </w:r>
      <w:r w:rsidRPr="00A21C94">
        <w:rPr>
          <w:sz w:val="22"/>
        </w:rPr>
        <w:t xml:space="preserve"> financing activities </w:t>
      </w:r>
      <w:r w:rsidRPr="00CC4B64">
        <w:rPr>
          <w:sz w:val="22"/>
        </w:rPr>
        <w:t>was $</w:t>
      </w:r>
      <w:r w:rsidR="00CC4B64" w:rsidRPr="00CC4B64">
        <w:rPr>
          <w:sz w:val="22"/>
        </w:rPr>
        <w:t>19.3</w:t>
      </w:r>
      <w:r w:rsidRPr="00CC4B64">
        <w:rPr>
          <w:sz w:val="22"/>
        </w:rPr>
        <w:t xml:space="preserve"> million for the</w:t>
      </w:r>
      <w:r w:rsidRPr="00A21C94">
        <w:rPr>
          <w:sz w:val="22"/>
        </w:rPr>
        <w:t xml:space="preserve"> </w:t>
      </w:r>
      <w:r w:rsidR="00A21C94">
        <w:rPr>
          <w:sz w:val="22"/>
        </w:rPr>
        <w:t>three</w:t>
      </w:r>
      <w:r w:rsidR="008B4776" w:rsidRPr="00A21C94">
        <w:rPr>
          <w:sz w:val="22"/>
        </w:rPr>
        <w:t xml:space="preserve"> </w:t>
      </w:r>
      <w:r w:rsidRPr="00A21C94">
        <w:rPr>
          <w:sz w:val="22"/>
        </w:rPr>
        <w:t xml:space="preserve">months ended </w:t>
      </w:r>
      <w:r w:rsidR="00A21C94">
        <w:rPr>
          <w:sz w:val="22"/>
        </w:rPr>
        <w:t>March</w:t>
      </w:r>
      <w:r w:rsidRPr="00A21C94">
        <w:rPr>
          <w:sz w:val="22"/>
        </w:rPr>
        <w:t xml:space="preserve"> 3</w:t>
      </w:r>
      <w:r w:rsidR="00A21C94">
        <w:rPr>
          <w:sz w:val="22"/>
        </w:rPr>
        <w:t>1</w:t>
      </w:r>
      <w:r w:rsidRPr="00A21C94">
        <w:rPr>
          <w:sz w:val="22"/>
        </w:rPr>
        <w:t>, 201</w:t>
      </w:r>
      <w:r w:rsidR="00A21C94">
        <w:rPr>
          <w:sz w:val="22"/>
        </w:rPr>
        <w:t>4</w:t>
      </w:r>
      <w:r w:rsidRPr="00A21C94">
        <w:rPr>
          <w:sz w:val="22"/>
        </w:rPr>
        <w:t xml:space="preserve"> compared to</w:t>
      </w:r>
      <w:r w:rsidR="00CC4B64">
        <w:rPr>
          <w:sz w:val="22"/>
        </w:rPr>
        <w:t xml:space="preserve"> net cash provided by financing activities of </w:t>
      </w:r>
      <w:r w:rsidRPr="00A21C94">
        <w:rPr>
          <w:sz w:val="22"/>
        </w:rPr>
        <w:t xml:space="preserve"> $</w:t>
      </w:r>
      <w:r w:rsidR="00A21C94">
        <w:rPr>
          <w:sz w:val="22"/>
        </w:rPr>
        <w:t>22.9</w:t>
      </w:r>
      <w:r w:rsidRPr="00A21C94">
        <w:rPr>
          <w:sz w:val="22"/>
        </w:rPr>
        <w:t xml:space="preserve"> million for the </w:t>
      </w:r>
      <w:r w:rsidR="00A21C94">
        <w:rPr>
          <w:sz w:val="22"/>
        </w:rPr>
        <w:t>three</w:t>
      </w:r>
      <w:r w:rsidRPr="00A21C94">
        <w:rPr>
          <w:sz w:val="22"/>
        </w:rPr>
        <w:t xml:space="preserve"> months ended </w:t>
      </w:r>
      <w:r w:rsidR="00A21C94">
        <w:rPr>
          <w:sz w:val="22"/>
        </w:rPr>
        <w:t>March</w:t>
      </w:r>
      <w:r w:rsidRPr="00A21C94">
        <w:rPr>
          <w:sz w:val="22"/>
        </w:rPr>
        <w:t> 3</w:t>
      </w:r>
      <w:r w:rsidR="00A21C94">
        <w:rPr>
          <w:sz w:val="22"/>
        </w:rPr>
        <w:t>1</w:t>
      </w:r>
      <w:r w:rsidRPr="00A21C94">
        <w:rPr>
          <w:sz w:val="22"/>
        </w:rPr>
        <w:t>, 201</w:t>
      </w:r>
      <w:r w:rsidR="00A21C94">
        <w:rPr>
          <w:sz w:val="22"/>
        </w:rPr>
        <w:t>3</w:t>
      </w:r>
      <w:r w:rsidRPr="00911FE3">
        <w:rPr>
          <w:sz w:val="22"/>
        </w:rPr>
        <w:t>, a $</w:t>
      </w:r>
      <w:r w:rsidR="00B631B0" w:rsidRPr="00911FE3">
        <w:rPr>
          <w:sz w:val="22"/>
        </w:rPr>
        <w:t>42.2</w:t>
      </w:r>
      <w:r w:rsidRPr="00911FE3">
        <w:rPr>
          <w:sz w:val="22"/>
        </w:rPr>
        <w:t xml:space="preserve"> million </w:t>
      </w:r>
      <w:r w:rsidR="00BE3447">
        <w:rPr>
          <w:sz w:val="22"/>
        </w:rPr>
        <w:t>change</w:t>
      </w:r>
      <w:r w:rsidRPr="00911FE3">
        <w:rPr>
          <w:sz w:val="22"/>
        </w:rPr>
        <w:t xml:space="preserve"> in cash flow. The </w:t>
      </w:r>
      <w:r w:rsidR="00BE3447">
        <w:rPr>
          <w:sz w:val="22"/>
        </w:rPr>
        <w:t>change</w:t>
      </w:r>
      <w:r w:rsidRPr="00911FE3">
        <w:rPr>
          <w:sz w:val="22"/>
        </w:rPr>
        <w:t xml:space="preserve"> in cash</w:t>
      </w:r>
      <w:r w:rsidR="00BB2C1C" w:rsidRPr="00911FE3">
        <w:rPr>
          <w:sz w:val="22"/>
        </w:rPr>
        <w:t xml:space="preserve"> flow</w:t>
      </w:r>
      <w:r w:rsidRPr="00911FE3">
        <w:rPr>
          <w:sz w:val="22"/>
        </w:rPr>
        <w:t xml:space="preserve"> </w:t>
      </w:r>
      <w:r w:rsidR="00B631B0" w:rsidRPr="00911FE3">
        <w:rPr>
          <w:sz w:val="22"/>
        </w:rPr>
        <w:t xml:space="preserve">is primarily attributable to a $34.0 million decrease in borrowings and an $8.8 million </w:t>
      </w:r>
      <w:r w:rsidR="00BE3447">
        <w:rPr>
          <w:sz w:val="22"/>
        </w:rPr>
        <w:t xml:space="preserve">increase </w:t>
      </w:r>
      <w:r w:rsidR="00B631B0" w:rsidRPr="00911FE3">
        <w:rPr>
          <w:sz w:val="22"/>
        </w:rPr>
        <w:t>in repayments of long term debt during the first three months of 2014 compared to the first three months of 2013.</w:t>
      </w:r>
    </w:p>
    <w:p w:rsidR="00690897" w:rsidRPr="00993016" w:rsidRDefault="00690897" w:rsidP="00690897">
      <w:pPr>
        <w:keepNext/>
        <w:keepLines/>
        <w:tabs>
          <w:tab w:val="left" w:pos="-720"/>
          <w:tab w:val="left" w:pos="720"/>
          <w:tab w:val="left" w:pos="1440"/>
        </w:tabs>
        <w:suppressAutoHyphens/>
        <w:spacing w:after="240"/>
        <w:rPr>
          <w:b/>
          <w:bCs/>
          <w:sz w:val="22"/>
        </w:rPr>
      </w:pPr>
      <w:r w:rsidRPr="00993016">
        <w:rPr>
          <w:b/>
          <w:bCs/>
          <w:sz w:val="22"/>
        </w:rPr>
        <w:t>Contractual obligations and commitments</w:t>
      </w:r>
    </w:p>
    <w:p w:rsidR="00690897" w:rsidRPr="00993016" w:rsidRDefault="00690897" w:rsidP="00690897">
      <w:pPr>
        <w:tabs>
          <w:tab w:val="left" w:pos="-720"/>
        </w:tabs>
        <w:suppressAutoHyphens/>
        <w:spacing w:after="240"/>
        <w:ind w:firstLine="720"/>
        <w:rPr>
          <w:sz w:val="22"/>
        </w:rPr>
      </w:pPr>
      <w:r w:rsidRPr="00993016">
        <w:rPr>
          <w:sz w:val="22"/>
        </w:rPr>
        <w:t xml:space="preserve">The following table summarizes our various contractual obligations in order of their maturity dates as of </w:t>
      </w:r>
      <w:r w:rsidR="00993016" w:rsidRPr="00993016">
        <w:rPr>
          <w:sz w:val="22"/>
        </w:rPr>
        <w:t>March</w:t>
      </w:r>
      <w:r w:rsidRPr="00993016">
        <w:rPr>
          <w:sz w:val="22"/>
        </w:rPr>
        <w:t xml:space="preserve"> 3</w:t>
      </w:r>
      <w:r w:rsidR="00993016" w:rsidRPr="00993016">
        <w:rPr>
          <w:sz w:val="22"/>
        </w:rPr>
        <w:t>1</w:t>
      </w:r>
      <w:r w:rsidRPr="00993016">
        <w:rPr>
          <w:sz w:val="22"/>
        </w:rPr>
        <w:t>, 201</w:t>
      </w:r>
      <w:r w:rsidR="00993016" w:rsidRPr="00993016">
        <w:rPr>
          <w:sz w:val="22"/>
        </w:rPr>
        <w:t>4</w:t>
      </w:r>
      <w:r w:rsidRPr="00993016">
        <w:rPr>
          <w:sz w:val="22"/>
        </w:rPr>
        <w:t xml:space="preserve">. </w:t>
      </w:r>
    </w:p>
    <w:tbl>
      <w:tblPr>
        <w:tblW w:w="4924" w:type="pct"/>
        <w:jc w:val="center"/>
        <w:tblCellMar>
          <w:left w:w="72" w:type="dxa"/>
          <w:right w:w="72" w:type="dxa"/>
        </w:tblCellMar>
        <w:tblLook w:val="0000" w:firstRow="0" w:lastRow="0" w:firstColumn="0" w:lastColumn="0" w:noHBand="0" w:noVBand="0"/>
      </w:tblPr>
      <w:tblGrid>
        <w:gridCol w:w="2597"/>
        <w:gridCol w:w="1132"/>
        <w:gridCol w:w="1069"/>
        <w:gridCol w:w="1069"/>
        <w:gridCol w:w="985"/>
        <w:gridCol w:w="1069"/>
        <w:gridCol w:w="1069"/>
        <w:gridCol w:w="1079"/>
      </w:tblGrid>
      <w:tr w:rsidR="00690897" w:rsidRPr="00993016" w:rsidTr="008F15F7">
        <w:trPr>
          <w:cantSplit/>
          <w:jc w:val="center"/>
        </w:trPr>
        <w:tc>
          <w:tcPr>
            <w:tcW w:w="1289" w:type="pct"/>
            <w:tcBorders>
              <w:top w:val="nil"/>
              <w:left w:val="nil"/>
              <w:bottom w:val="nil"/>
              <w:right w:val="nil"/>
            </w:tcBorders>
            <w:vAlign w:val="bottom"/>
          </w:tcPr>
          <w:p w:rsidR="00690897" w:rsidRPr="00993016"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p>
        </w:tc>
        <w:tc>
          <w:tcPr>
            <w:tcW w:w="562" w:type="pct"/>
            <w:tcBorders>
              <w:top w:val="nil"/>
              <w:left w:val="nil"/>
              <w:bottom w:val="nil"/>
              <w:right w:val="nil"/>
            </w:tcBorders>
            <w:vAlign w:val="bottom"/>
          </w:tcPr>
          <w:p w:rsidR="00690897" w:rsidRPr="00993016"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p>
        </w:tc>
        <w:tc>
          <w:tcPr>
            <w:tcW w:w="3149" w:type="pct"/>
            <w:gridSpan w:val="6"/>
            <w:tcBorders>
              <w:top w:val="nil"/>
              <w:left w:val="nil"/>
              <w:bottom w:val="nil"/>
              <w:right w:val="nil"/>
            </w:tcBorders>
            <w:vAlign w:val="bottom"/>
          </w:tcPr>
          <w:p w:rsidR="00690897" w:rsidRPr="00993016" w:rsidRDefault="00690897" w:rsidP="0069089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993016">
              <w:rPr>
                <w:b/>
                <w:bCs/>
                <w:sz w:val="16"/>
                <w:szCs w:val="18"/>
              </w:rPr>
              <w:t>Maturity in years</w:t>
            </w:r>
          </w:p>
        </w:tc>
      </w:tr>
      <w:tr w:rsidR="00D301EA" w:rsidRPr="0053635E" w:rsidTr="008F15F7">
        <w:trPr>
          <w:cantSplit/>
          <w:jc w:val="center"/>
        </w:trPr>
        <w:tc>
          <w:tcPr>
            <w:tcW w:w="1289" w:type="pct"/>
            <w:tcBorders>
              <w:top w:val="nil"/>
              <w:left w:val="nil"/>
              <w:bottom w:val="nil"/>
              <w:right w:val="nil"/>
            </w:tcBorders>
            <w:vAlign w:val="bottom"/>
          </w:tcPr>
          <w:p w:rsidR="00690897" w:rsidRPr="00993016" w:rsidRDefault="00690897" w:rsidP="00690897">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18"/>
                <w:szCs w:val="18"/>
              </w:rPr>
            </w:pPr>
            <w:r w:rsidRPr="00993016">
              <w:rPr>
                <w:b/>
                <w:bCs/>
                <w:sz w:val="16"/>
                <w:szCs w:val="18"/>
              </w:rPr>
              <w:t>(Dollars in thousands)</w:t>
            </w:r>
          </w:p>
        </w:tc>
        <w:tc>
          <w:tcPr>
            <w:tcW w:w="562" w:type="pct"/>
            <w:tcBorders>
              <w:top w:val="nil"/>
              <w:left w:val="nil"/>
              <w:bottom w:val="nil"/>
              <w:right w:val="nil"/>
            </w:tcBorders>
            <w:vAlign w:val="bottom"/>
          </w:tcPr>
          <w:p w:rsidR="00690897" w:rsidRPr="00993016" w:rsidRDefault="00690897" w:rsidP="00993016">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993016">
              <w:rPr>
                <w:b/>
                <w:bCs/>
                <w:sz w:val="16"/>
                <w:szCs w:val="18"/>
              </w:rPr>
              <w:t>Total as of</w:t>
            </w:r>
            <w:r w:rsidRPr="00993016">
              <w:rPr>
                <w:b/>
                <w:bCs/>
                <w:sz w:val="16"/>
                <w:szCs w:val="18"/>
              </w:rPr>
              <w:br/>
            </w:r>
            <w:r w:rsidR="00993016">
              <w:rPr>
                <w:b/>
                <w:bCs/>
                <w:sz w:val="16"/>
                <w:szCs w:val="18"/>
              </w:rPr>
              <w:t>Mar</w:t>
            </w:r>
            <w:r w:rsidRPr="00993016">
              <w:rPr>
                <w:b/>
                <w:bCs/>
                <w:sz w:val="16"/>
                <w:szCs w:val="18"/>
              </w:rPr>
              <w:t> 3</w:t>
            </w:r>
            <w:r w:rsidR="00993016">
              <w:rPr>
                <w:b/>
                <w:bCs/>
                <w:sz w:val="16"/>
                <w:szCs w:val="18"/>
              </w:rPr>
              <w:t>1</w:t>
            </w:r>
            <w:r w:rsidRPr="00993016">
              <w:rPr>
                <w:b/>
                <w:bCs/>
                <w:sz w:val="16"/>
                <w:szCs w:val="18"/>
              </w:rPr>
              <w:t>, 201</w:t>
            </w:r>
            <w:r w:rsidR="00993016">
              <w:rPr>
                <w:b/>
                <w:bCs/>
                <w:sz w:val="16"/>
                <w:szCs w:val="18"/>
              </w:rPr>
              <w:t>4</w:t>
            </w:r>
          </w:p>
        </w:tc>
        <w:tc>
          <w:tcPr>
            <w:tcW w:w="531" w:type="pct"/>
            <w:tcBorders>
              <w:top w:val="nil"/>
              <w:left w:val="nil"/>
              <w:bottom w:val="nil"/>
              <w:right w:val="nil"/>
            </w:tcBorders>
            <w:vAlign w:val="bottom"/>
          </w:tcPr>
          <w:p w:rsidR="00690897" w:rsidRPr="00993016" w:rsidRDefault="00C127E9" w:rsidP="00C127E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993016">
              <w:rPr>
                <w:b/>
                <w:bCs/>
                <w:sz w:val="16"/>
                <w:szCs w:val="18"/>
              </w:rPr>
              <w:t>Less than 1 Year</w:t>
            </w:r>
          </w:p>
        </w:tc>
        <w:tc>
          <w:tcPr>
            <w:tcW w:w="531" w:type="pct"/>
            <w:tcBorders>
              <w:top w:val="nil"/>
              <w:left w:val="nil"/>
              <w:bottom w:val="nil"/>
              <w:right w:val="nil"/>
            </w:tcBorders>
            <w:vAlign w:val="bottom"/>
          </w:tcPr>
          <w:p w:rsidR="00690897" w:rsidRPr="00993016" w:rsidRDefault="00C127E9" w:rsidP="00C127E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993016">
              <w:rPr>
                <w:b/>
                <w:bCs/>
                <w:sz w:val="16"/>
                <w:szCs w:val="18"/>
              </w:rPr>
              <w:t>2 Years</w:t>
            </w:r>
          </w:p>
        </w:tc>
        <w:tc>
          <w:tcPr>
            <w:tcW w:w="489" w:type="pct"/>
            <w:tcBorders>
              <w:top w:val="nil"/>
              <w:left w:val="nil"/>
              <w:bottom w:val="nil"/>
              <w:right w:val="nil"/>
            </w:tcBorders>
            <w:vAlign w:val="bottom"/>
          </w:tcPr>
          <w:p w:rsidR="00690897" w:rsidRPr="00993016" w:rsidRDefault="00C127E9" w:rsidP="00C127E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993016">
              <w:rPr>
                <w:b/>
                <w:bCs/>
                <w:sz w:val="16"/>
                <w:szCs w:val="18"/>
              </w:rPr>
              <w:t>3 Years</w:t>
            </w:r>
          </w:p>
        </w:tc>
        <w:tc>
          <w:tcPr>
            <w:tcW w:w="531" w:type="pct"/>
            <w:tcBorders>
              <w:top w:val="nil"/>
              <w:left w:val="nil"/>
              <w:bottom w:val="nil"/>
              <w:right w:val="nil"/>
            </w:tcBorders>
            <w:vAlign w:val="bottom"/>
          </w:tcPr>
          <w:p w:rsidR="00690897" w:rsidRPr="00993016" w:rsidRDefault="00C127E9" w:rsidP="00C127E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993016">
              <w:rPr>
                <w:b/>
                <w:bCs/>
                <w:sz w:val="16"/>
                <w:szCs w:val="18"/>
              </w:rPr>
              <w:t>4 Years</w:t>
            </w:r>
          </w:p>
        </w:tc>
        <w:tc>
          <w:tcPr>
            <w:tcW w:w="531" w:type="pct"/>
            <w:tcBorders>
              <w:top w:val="nil"/>
              <w:left w:val="nil"/>
              <w:bottom w:val="nil"/>
              <w:right w:val="nil"/>
            </w:tcBorders>
            <w:vAlign w:val="bottom"/>
          </w:tcPr>
          <w:p w:rsidR="00690897" w:rsidRPr="00993016" w:rsidRDefault="00B6125F" w:rsidP="00B6125F">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993016">
              <w:rPr>
                <w:b/>
                <w:bCs/>
                <w:sz w:val="16"/>
                <w:szCs w:val="18"/>
              </w:rPr>
              <w:t>5 Years</w:t>
            </w:r>
          </w:p>
        </w:tc>
        <w:tc>
          <w:tcPr>
            <w:tcW w:w="537" w:type="pct"/>
            <w:tcBorders>
              <w:top w:val="nil"/>
              <w:left w:val="nil"/>
              <w:bottom w:val="nil"/>
              <w:right w:val="nil"/>
            </w:tcBorders>
            <w:vAlign w:val="bottom"/>
          </w:tcPr>
          <w:p w:rsidR="00690897" w:rsidRPr="00993016" w:rsidRDefault="00690897" w:rsidP="0069089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rPr>
            </w:pPr>
            <w:r w:rsidRPr="00993016">
              <w:rPr>
                <w:b/>
                <w:bCs/>
                <w:sz w:val="16"/>
                <w:szCs w:val="18"/>
              </w:rPr>
              <w:t>Thereafter</w:t>
            </w:r>
          </w:p>
        </w:tc>
      </w:tr>
      <w:tr w:rsidR="008F15F7" w:rsidRPr="0053635E" w:rsidTr="008F15F7">
        <w:trPr>
          <w:cantSplit/>
          <w:jc w:val="center"/>
        </w:trPr>
        <w:tc>
          <w:tcPr>
            <w:tcW w:w="1289" w:type="pct"/>
            <w:tcBorders>
              <w:top w:val="nil"/>
              <w:left w:val="nil"/>
              <w:bottom w:val="nil"/>
              <w:right w:val="nil"/>
            </w:tcBorders>
          </w:tcPr>
          <w:p w:rsidR="008F15F7" w:rsidRPr="00087DFB" w:rsidRDefault="008F15F7" w:rsidP="00690897">
            <w:pPr>
              <w:suppressAutoHyphens/>
              <w:ind w:left="200" w:hanging="200"/>
            </w:pPr>
            <w:r w:rsidRPr="00087DFB">
              <w:t>ABL Facility</w:t>
            </w:r>
            <w:r w:rsidRPr="00087DFB">
              <w:tab/>
            </w:r>
          </w:p>
        </w:tc>
        <w:tc>
          <w:tcPr>
            <w:tcW w:w="562"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    707,000</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            —</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            —</w:t>
            </w:r>
          </w:p>
        </w:tc>
        <w:tc>
          <w:tcPr>
            <w:tcW w:w="489"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          —</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   707,000</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 xml:space="preserve">$            —   </w:t>
            </w:r>
          </w:p>
        </w:tc>
        <w:tc>
          <w:tcPr>
            <w:tcW w:w="537"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            —</w:t>
            </w:r>
          </w:p>
        </w:tc>
      </w:tr>
      <w:tr w:rsidR="008F15F7" w:rsidRPr="0053635E" w:rsidTr="008F15F7">
        <w:trPr>
          <w:cantSplit/>
          <w:jc w:val="center"/>
        </w:trPr>
        <w:tc>
          <w:tcPr>
            <w:tcW w:w="1289" w:type="pct"/>
            <w:tcBorders>
              <w:top w:val="nil"/>
              <w:left w:val="nil"/>
              <w:bottom w:val="nil"/>
              <w:right w:val="nil"/>
            </w:tcBorders>
          </w:tcPr>
          <w:p w:rsidR="008F15F7" w:rsidRPr="00087DFB" w:rsidRDefault="008F15F7" w:rsidP="00690897">
            <w:pPr>
              <w:suppressAutoHyphens/>
              <w:ind w:left="200" w:hanging="200"/>
            </w:pPr>
            <w:r w:rsidRPr="00087DFB">
              <w:t>TRAC 2019 Senior Secured Notes</w:t>
            </w:r>
            <w:r w:rsidRPr="00087DFB">
              <w:tab/>
            </w:r>
          </w:p>
        </w:tc>
        <w:tc>
          <w:tcPr>
            <w:tcW w:w="562"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300,000</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w:t>
            </w:r>
          </w:p>
        </w:tc>
        <w:tc>
          <w:tcPr>
            <w:tcW w:w="489"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w:t>
            </w:r>
          </w:p>
        </w:tc>
        <w:tc>
          <w:tcPr>
            <w:tcW w:w="537"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300,000</w:t>
            </w:r>
          </w:p>
        </w:tc>
      </w:tr>
      <w:tr w:rsidR="008F15F7" w:rsidRPr="0053635E" w:rsidTr="008F15F7">
        <w:trPr>
          <w:cantSplit/>
          <w:jc w:val="center"/>
        </w:trPr>
        <w:tc>
          <w:tcPr>
            <w:tcW w:w="1289" w:type="pct"/>
            <w:tcBorders>
              <w:top w:val="nil"/>
              <w:left w:val="nil"/>
              <w:bottom w:val="nil"/>
              <w:right w:val="nil"/>
            </w:tcBorders>
          </w:tcPr>
          <w:p w:rsidR="008F15F7" w:rsidRPr="00087DFB" w:rsidRDefault="008F15F7" w:rsidP="00690897">
            <w:pPr>
              <w:suppressAutoHyphens/>
              <w:ind w:left="200" w:hanging="200"/>
            </w:pPr>
            <w:r w:rsidRPr="00087DFB">
              <w:t>Loan payable to CIMC</w:t>
            </w:r>
            <w:r w:rsidRPr="00087DFB">
              <w:tab/>
            </w:r>
          </w:p>
        </w:tc>
        <w:tc>
          <w:tcPr>
            <w:tcW w:w="562"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18,706</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2,354</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2,463</w:t>
            </w:r>
          </w:p>
        </w:tc>
        <w:tc>
          <w:tcPr>
            <w:tcW w:w="489"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2,577</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2,697</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2,821</w:t>
            </w:r>
          </w:p>
        </w:tc>
        <w:tc>
          <w:tcPr>
            <w:tcW w:w="537"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5,794</w:t>
            </w:r>
          </w:p>
        </w:tc>
      </w:tr>
      <w:tr w:rsidR="008F15F7" w:rsidRPr="0053635E" w:rsidTr="008F15F7">
        <w:trPr>
          <w:cantSplit/>
          <w:jc w:val="center"/>
        </w:trPr>
        <w:tc>
          <w:tcPr>
            <w:tcW w:w="1289" w:type="pct"/>
            <w:tcBorders>
              <w:top w:val="nil"/>
              <w:left w:val="nil"/>
              <w:bottom w:val="nil"/>
              <w:right w:val="nil"/>
            </w:tcBorders>
          </w:tcPr>
          <w:p w:rsidR="008F15F7" w:rsidRPr="00087DFB" w:rsidRDefault="008F15F7" w:rsidP="00690897">
            <w:pPr>
              <w:suppressAutoHyphens/>
              <w:ind w:left="200" w:hanging="200"/>
            </w:pPr>
            <w:r w:rsidRPr="00087DFB">
              <w:t>Capital lease obligations</w:t>
            </w:r>
            <w:r w:rsidRPr="00087DFB">
              <w:tab/>
            </w:r>
          </w:p>
        </w:tc>
        <w:tc>
          <w:tcPr>
            <w:tcW w:w="562"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119,765</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35,389</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17,591</w:t>
            </w:r>
          </w:p>
        </w:tc>
        <w:tc>
          <w:tcPr>
            <w:tcW w:w="489"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42,404</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5,799</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17,329</w:t>
            </w:r>
          </w:p>
        </w:tc>
        <w:tc>
          <w:tcPr>
            <w:tcW w:w="537"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1,253</w:t>
            </w:r>
          </w:p>
        </w:tc>
      </w:tr>
      <w:tr w:rsidR="008F15F7" w:rsidRPr="0053635E" w:rsidTr="008F15F7">
        <w:trPr>
          <w:cantSplit/>
          <w:jc w:val="center"/>
        </w:trPr>
        <w:tc>
          <w:tcPr>
            <w:tcW w:w="1289" w:type="pct"/>
            <w:tcBorders>
              <w:top w:val="nil"/>
              <w:left w:val="nil"/>
              <w:bottom w:val="nil"/>
              <w:right w:val="nil"/>
            </w:tcBorders>
          </w:tcPr>
          <w:p w:rsidR="008F15F7" w:rsidRPr="00087DFB" w:rsidRDefault="008F15F7" w:rsidP="00690897">
            <w:pPr>
              <w:suppressAutoHyphens/>
              <w:ind w:left="200" w:right="-135" w:hanging="200"/>
            </w:pPr>
            <w:r w:rsidRPr="00087DFB">
              <w:t>Lease asset purchase commitments</w:t>
            </w:r>
            <w:r w:rsidRPr="00087DFB">
              <w:tab/>
            </w:r>
          </w:p>
        </w:tc>
        <w:tc>
          <w:tcPr>
            <w:tcW w:w="562" w:type="pct"/>
            <w:tcBorders>
              <w:top w:val="nil"/>
              <w:left w:val="nil"/>
              <w:bottom w:val="nil"/>
              <w:right w:val="nil"/>
            </w:tcBorders>
            <w:vAlign w:val="bottom"/>
          </w:tcPr>
          <w:p w:rsidR="008F15F7" w:rsidRPr="008F15F7" w:rsidRDefault="008F15F7" w:rsidP="00A11A90">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3,9</w:t>
            </w:r>
            <w:r w:rsidR="00A11A90">
              <w:t>79</w:t>
            </w:r>
          </w:p>
        </w:tc>
        <w:tc>
          <w:tcPr>
            <w:tcW w:w="531" w:type="pct"/>
            <w:tcBorders>
              <w:top w:val="nil"/>
              <w:left w:val="nil"/>
              <w:bottom w:val="nil"/>
              <w:right w:val="nil"/>
            </w:tcBorders>
            <w:vAlign w:val="bottom"/>
          </w:tcPr>
          <w:p w:rsidR="008F15F7" w:rsidRPr="008F15F7" w:rsidRDefault="008F15F7" w:rsidP="00A11A90">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3,9</w:t>
            </w:r>
            <w:r w:rsidR="00A11A90">
              <w:t>79</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w:t>
            </w:r>
          </w:p>
        </w:tc>
        <w:tc>
          <w:tcPr>
            <w:tcW w:w="489"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w:t>
            </w:r>
          </w:p>
        </w:tc>
        <w:tc>
          <w:tcPr>
            <w:tcW w:w="537"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w:t>
            </w:r>
          </w:p>
        </w:tc>
      </w:tr>
      <w:tr w:rsidR="008F15F7" w:rsidRPr="0053635E" w:rsidTr="008F15F7">
        <w:trPr>
          <w:cantSplit/>
          <w:jc w:val="center"/>
        </w:trPr>
        <w:tc>
          <w:tcPr>
            <w:tcW w:w="1289" w:type="pct"/>
            <w:tcBorders>
              <w:top w:val="nil"/>
              <w:left w:val="nil"/>
              <w:bottom w:val="nil"/>
              <w:right w:val="nil"/>
            </w:tcBorders>
          </w:tcPr>
          <w:p w:rsidR="008F15F7" w:rsidRPr="00087DFB" w:rsidRDefault="008F15F7" w:rsidP="00690897">
            <w:pPr>
              <w:suppressAutoHyphens/>
              <w:ind w:left="200" w:hanging="200"/>
            </w:pPr>
            <w:r w:rsidRPr="00087DFB">
              <w:t>Interest payments</w:t>
            </w:r>
            <w:r w:rsidRPr="00087DFB">
              <w:tab/>
            </w:r>
          </w:p>
        </w:tc>
        <w:tc>
          <w:tcPr>
            <w:tcW w:w="562"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266,933</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60,447</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58,452</w:t>
            </w:r>
          </w:p>
        </w:tc>
        <w:tc>
          <w:tcPr>
            <w:tcW w:w="489"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56,888</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41,850</w:t>
            </w:r>
          </w:p>
        </w:tc>
        <w:tc>
          <w:tcPr>
            <w:tcW w:w="531"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33,800</w:t>
            </w:r>
          </w:p>
        </w:tc>
        <w:tc>
          <w:tcPr>
            <w:tcW w:w="537" w:type="pct"/>
            <w:tcBorders>
              <w:top w:val="nil"/>
              <w:left w:val="nil"/>
              <w:bottom w:val="nil"/>
              <w:right w:val="nil"/>
            </w:tcBorders>
            <w:vAlign w:val="bottom"/>
          </w:tcPr>
          <w:p w:rsidR="008F15F7" w:rsidRPr="008F15F7" w:rsidRDefault="008F15F7" w:rsidP="008F15F7">
            <w:pPr>
              <w:tabs>
                <w:tab w:val="left" w:pos="0"/>
                <w:tab w:val="left" w:pos="216"/>
                <w:tab w:val="left" w:pos="432"/>
                <w:tab w:val="left" w:pos="648"/>
                <w:tab w:val="left" w:pos="864"/>
                <w:tab w:val="left" w:pos="1080"/>
                <w:tab w:val="left" w:pos="1296"/>
                <w:tab w:val="left" w:pos="1512"/>
                <w:tab w:val="left" w:pos="1728"/>
                <w:tab w:val="left" w:pos="1944"/>
              </w:tabs>
              <w:suppressAutoHyphens/>
              <w:jc w:val="right"/>
            </w:pPr>
            <w:r w:rsidRPr="008F15F7">
              <w:t>15,496</w:t>
            </w:r>
          </w:p>
        </w:tc>
      </w:tr>
      <w:tr w:rsidR="008F15F7" w:rsidRPr="0053635E" w:rsidTr="008F15F7">
        <w:trPr>
          <w:cantSplit/>
          <w:jc w:val="center"/>
        </w:trPr>
        <w:tc>
          <w:tcPr>
            <w:tcW w:w="1289" w:type="pct"/>
            <w:tcBorders>
              <w:top w:val="nil"/>
              <w:left w:val="nil"/>
              <w:bottom w:val="nil"/>
              <w:right w:val="nil"/>
            </w:tcBorders>
          </w:tcPr>
          <w:p w:rsidR="008F15F7" w:rsidRPr="00087DFB" w:rsidRDefault="008F15F7" w:rsidP="00690897">
            <w:pPr>
              <w:suppressAutoHyphens/>
              <w:spacing w:after="20"/>
              <w:ind w:left="200" w:hanging="200"/>
            </w:pPr>
            <w:r w:rsidRPr="00087DFB">
              <w:t>Operating leases</w:t>
            </w:r>
            <w:r w:rsidRPr="00087DFB">
              <w:tab/>
            </w:r>
          </w:p>
        </w:tc>
        <w:tc>
          <w:tcPr>
            <w:tcW w:w="562" w:type="pct"/>
            <w:tcBorders>
              <w:top w:val="nil"/>
              <w:left w:val="nil"/>
              <w:bottom w:val="nil"/>
              <w:right w:val="nil"/>
            </w:tcBorders>
            <w:vAlign w:val="bottom"/>
          </w:tcPr>
          <w:p w:rsidR="008F15F7" w:rsidRPr="008F15F7" w:rsidRDefault="008F15F7" w:rsidP="008F15F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8,917</w:t>
            </w:r>
          </w:p>
        </w:tc>
        <w:tc>
          <w:tcPr>
            <w:tcW w:w="531" w:type="pct"/>
            <w:tcBorders>
              <w:top w:val="nil"/>
              <w:left w:val="nil"/>
              <w:bottom w:val="nil"/>
              <w:right w:val="nil"/>
            </w:tcBorders>
            <w:vAlign w:val="bottom"/>
          </w:tcPr>
          <w:p w:rsidR="008F15F7" w:rsidRPr="008F15F7" w:rsidRDefault="008F15F7" w:rsidP="008F15F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3,027</w:t>
            </w:r>
          </w:p>
        </w:tc>
        <w:tc>
          <w:tcPr>
            <w:tcW w:w="531" w:type="pct"/>
            <w:tcBorders>
              <w:top w:val="nil"/>
              <w:left w:val="nil"/>
              <w:bottom w:val="nil"/>
              <w:right w:val="nil"/>
            </w:tcBorders>
            <w:vAlign w:val="bottom"/>
          </w:tcPr>
          <w:p w:rsidR="008F15F7" w:rsidRPr="008F15F7" w:rsidRDefault="008F15F7" w:rsidP="008F15F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1,910</w:t>
            </w:r>
          </w:p>
        </w:tc>
        <w:tc>
          <w:tcPr>
            <w:tcW w:w="489" w:type="pct"/>
            <w:tcBorders>
              <w:top w:val="nil"/>
              <w:left w:val="nil"/>
              <w:bottom w:val="nil"/>
              <w:right w:val="nil"/>
            </w:tcBorders>
            <w:vAlign w:val="bottom"/>
          </w:tcPr>
          <w:p w:rsidR="008F15F7" w:rsidRPr="008F15F7" w:rsidRDefault="008F15F7" w:rsidP="008F15F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1,631</w:t>
            </w:r>
          </w:p>
        </w:tc>
        <w:tc>
          <w:tcPr>
            <w:tcW w:w="531" w:type="pct"/>
            <w:tcBorders>
              <w:top w:val="nil"/>
              <w:left w:val="nil"/>
              <w:bottom w:val="nil"/>
              <w:right w:val="nil"/>
            </w:tcBorders>
            <w:vAlign w:val="bottom"/>
          </w:tcPr>
          <w:p w:rsidR="008F15F7" w:rsidRPr="008F15F7" w:rsidRDefault="008F15F7" w:rsidP="008F15F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1,252</w:t>
            </w:r>
          </w:p>
        </w:tc>
        <w:tc>
          <w:tcPr>
            <w:tcW w:w="531" w:type="pct"/>
            <w:tcBorders>
              <w:top w:val="nil"/>
              <w:left w:val="nil"/>
              <w:bottom w:val="nil"/>
              <w:right w:val="nil"/>
            </w:tcBorders>
            <w:vAlign w:val="bottom"/>
          </w:tcPr>
          <w:p w:rsidR="008F15F7" w:rsidRPr="008F15F7" w:rsidRDefault="008F15F7" w:rsidP="008F15F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891</w:t>
            </w:r>
          </w:p>
        </w:tc>
        <w:tc>
          <w:tcPr>
            <w:tcW w:w="537" w:type="pct"/>
            <w:tcBorders>
              <w:top w:val="nil"/>
              <w:left w:val="nil"/>
              <w:bottom w:val="nil"/>
              <w:right w:val="nil"/>
            </w:tcBorders>
            <w:vAlign w:val="bottom"/>
          </w:tcPr>
          <w:p w:rsidR="008F15F7" w:rsidRPr="008F15F7" w:rsidRDefault="008F15F7" w:rsidP="008F15F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206</w:t>
            </w:r>
          </w:p>
        </w:tc>
      </w:tr>
      <w:tr w:rsidR="008F15F7" w:rsidRPr="0053635E" w:rsidTr="008F15F7">
        <w:trPr>
          <w:cantSplit/>
          <w:jc w:val="center"/>
        </w:trPr>
        <w:tc>
          <w:tcPr>
            <w:tcW w:w="1289" w:type="pct"/>
            <w:tcBorders>
              <w:top w:val="nil"/>
              <w:left w:val="nil"/>
              <w:bottom w:val="nil"/>
              <w:right w:val="nil"/>
            </w:tcBorders>
          </w:tcPr>
          <w:p w:rsidR="008F15F7" w:rsidRPr="00087DFB" w:rsidRDefault="008F15F7" w:rsidP="00690897">
            <w:pPr>
              <w:suppressAutoHyphens/>
              <w:spacing w:after="20"/>
              <w:ind w:left="200" w:hanging="200"/>
            </w:pPr>
            <w:r w:rsidRPr="00087DFB">
              <w:t>Total</w:t>
            </w:r>
            <w:r w:rsidRPr="00087DFB">
              <w:tab/>
            </w:r>
          </w:p>
        </w:tc>
        <w:tc>
          <w:tcPr>
            <w:tcW w:w="562" w:type="pct"/>
            <w:tcBorders>
              <w:top w:val="nil"/>
              <w:left w:val="nil"/>
              <w:bottom w:val="nil"/>
              <w:right w:val="nil"/>
            </w:tcBorders>
            <w:vAlign w:val="bottom"/>
          </w:tcPr>
          <w:p w:rsidR="008F15F7" w:rsidRPr="008F15F7" w:rsidRDefault="008F15F7" w:rsidP="00A11A90">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$ 1,425,</w:t>
            </w:r>
            <w:r w:rsidR="00A11A90">
              <w:t>300</w:t>
            </w:r>
          </w:p>
        </w:tc>
        <w:tc>
          <w:tcPr>
            <w:tcW w:w="531" w:type="pct"/>
            <w:tcBorders>
              <w:top w:val="nil"/>
              <w:left w:val="nil"/>
              <w:bottom w:val="nil"/>
              <w:right w:val="nil"/>
            </w:tcBorders>
            <w:vAlign w:val="bottom"/>
          </w:tcPr>
          <w:p w:rsidR="008F15F7" w:rsidRPr="008F15F7" w:rsidRDefault="008F15F7" w:rsidP="00A11A90">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   105,1</w:t>
            </w:r>
            <w:r w:rsidR="00A11A90">
              <w:t>96</w:t>
            </w:r>
          </w:p>
        </w:tc>
        <w:tc>
          <w:tcPr>
            <w:tcW w:w="531" w:type="pct"/>
            <w:tcBorders>
              <w:top w:val="nil"/>
              <w:left w:val="nil"/>
              <w:bottom w:val="nil"/>
              <w:right w:val="nil"/>
            </w:tcBorders>
            <w:vAlign w:val="bottom"/>
          </w:tcPr>
          <w:p w:rsidR="008F15F7" w:rsidRPr="008F15F7" w:rsidRDefault="008F15F7" w:rsidP="008F15F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     80,416</w:t>
            </w:r>
          </w:p>
        </w:tc>
        <w:tc>
          <w:tcPr>
            <w:tcW w:w="489" w:type="pct"/>
            <w:tcBorders>
              <w:top w:val="nil"/>
              <w:left w:val="nil"/>
              <w:bottom w:val="nil"/>
              <w:right w:val="nil"/>
            </w:tcBorders>
            <w:vAlign w:val="bottom"/>
          </w:tcPr>
          <w:p w:rsidR="008F15F7" w:rsidRPr="008F15F7" w:rsidRDefault="008F15F7" w:rsidP="008F15F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$ 103,500</w:t>
            </w:r>
          </w:p>
        </w:tc>
        <w:tc>
          <w:tcPr>
            <w:tcW w:w="531" w:type="pct"/>
            <w:tcBorders>
              <w:top w:val="nil"/>
              <w:left w:val="nil"/>
              <w:bottom w:val="nil"/>
              <w:right w:val="nil"/>
            </w:tcBorders>
            <w:vAlign w:val="bottom"/>
          </w:tcPr>
          <w:p w:rsidR="008F15F7" w:rsidRPr="008F15F7" w:rsidRDefault="008F15F7" w:rsidP="008F15F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   758,598</w:t>
            </w:r>
          </w:p>
        </w:tc>
        <w:tc>
          <w:tcPr>
            <w:tcW w:w="531" w:type="pct"/>
            <w:tcBorders>
              <w:top w:val="nil"/>
              <w:left w:val="nil"/>
              <w:bottom w:val="nil"/>
              <w:right w:val="nil"/>
            </w:tcBorders>
            <w:vAlign w:val="bottom"/>
          </w:tcPr>
          <w:p w:rsidR="008F15F7" w:rsidRPr="008F15F7" w:rsidRDefault="008F15F7" w:rsidP="008F15F7">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     54,841</w:t>
            </w:r>
          </w:p>
        </w:tc>
        <w:tc>
          <w:tcPr>
            <w:tcW w:w="537" w:type="pct"/>
            <w:tcBorders>
              <w:top w:val="nil"/>
              <w:left w:val="nil"/>
              <w:bottom w:val="nil"/>
              <w:right w:val="nil"/>
            </w:tcBorders>
            <w:vAlign w:val="bottom"/>
          </w:tcPr>
          <w:p w:rsidR="008F15F7" w:rsidRPr="008F15F7" w:rsidRDefault="008F15F7" w:rsidP="003D26CB">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pPr>
            <w:r w:rsidRPr="008F15F7">
              <w:t>$</w:t>
            </w:r>
            <w:r w:rsidR="003D26CB">
              <w:t xml:space="preserve"> </w:t>
            </w:r>
            <w:r w:rsidRPr="008F15F7">
              <w:t xml:space="preserve">  322,749</w:t>
            </w:r>
          </w:p>
        </w:tc>
      </w:tr>
    </w:tbl>
    <w:p w:rsidR="00542EA8" w:rsidRPr="00087DFB" w:rsidRDefault="00CE2FB3" w:rsidP="00CE2FB3">
      <w:pPr>
        <w:tabs>
          <w:tab w:val="left" w:pos="-720"/>
        </w:tabs>
        <w:suppressAutoHyphens/>
        <w:spacing w:before="240" w:after="240"/>
        <w:jc w:val="both"/>
        <w:rPr>
          <w:sz w:val="22"/>
        </w:rPr>
      </w:pPr>
      <w:r w:rsidRPr="00087DFB">
        <w:rPr>
          <w:sz w:val="22"/>
        </w:rPr>
        <w:tab/>
      </w:r>
      <w:r w:rsidR="00690897" w:rsidRPr="00087DFB">
        <w:rPr>
          <w:sz w:val="22"/>
        </w:rPr>
        <w:t xml:space="preserve">Our contractual obligations consist of principal and interest payments related to the ABL Facility, the notes, chassis purchase commitments and operating lease payments for our chassis. Interest payments are based upon the net effect of swapping our variable interest rate payments for fixed rate payments. </w:t>
      </w:r>
    </w:p>
    <w:p w:rsidR="00690897" w:rsidRPr="00087DFB" w:rsidRDefault="00690897" w:rsidP="00690897">
      <w:pPr>
        <w:keepNext/>
        <w:keepLines/>
        <w:tabs>
          <w:tab w:val="left" w:pos="-720"/>
          <w:tab w:val="left" w:pos="720"/>
          <w:tab w:val="left" w:pos="1440"/>
        </w:tabs>
        <w:suppressAutoHyphens/>
        <w:spacing w:after="240"/>
        <w:jc w:val="both"/>
        <w:rPr>
          <w:b/>
          <w:bCs/>
          <w:sz w:val="22"/>
        </w:rPr>
      </w:pPr>
      <w:r w:rsidRPr="00087DFB">
        <w:rPr>
          <w:b/>
          <w:bCs/>
          <w:sz w:val="22"/>
        </w:rPr>
        <w:t>Covenants</w:t>
      </w:r>
    </w:p>
    <w:p w:rsidR="00542EA8" w:rsidRPr="00087DFB" w:rsidRDefault="00690897" w:rsidP="00542EA8">
      <w:pPr>
        <w:tabs>
          <w:tab w:val="left" w:pos="-720"/>
        </w:tabs>
        <w:suppressAutoHyphens/>
        <w:spacing w:after="240"/>
        <w:ind w:firstLine="720"/>
        <w:jc w:val="both"/>
        <w:rPr>
          <w:sz w:val="22"/>
        </w:rPr>
      </w:pPr>
      <w:r w:rsidRPr="00087DFB">
        <w:rPr>
          <w:sz w:val="22"/>
        </w:rPr>
        <w:t xml:space="preserve">Under the indenture governing the notes, the ABL Facility and our other debt instruments, we are required to maintain certain financial covenants (as defined in each agreement) including a minimum tangible net worth test, a funded debt to tangible net worth test and a fixed charge coverage test. As of </w:t>
      </w:r>
      <w:r w:rsidR="00087DFB">
        <w:rPr>
          <w:sz w:val="22"/>
        </w:rPr>
        <w:t>March</w:t>
      </w:r>
      <w:r w:rsidR="00F63A59" w:rsidRPr="00087DFB">
        <w:rPr>
          <w:sz w:val="22"/>
        </w:rPr>
        <w:t xml:space="preserve"> </w:t>
      </w:r>
      <w:r w:rsidRPr="00087DFB">
        <w:rPr>
          <w:sz w:val="22"/>
        </w:rPr>
        <w:t>3</w:t>
      </w:r>
      <w:r w:rsidR="00087DFB">
        <w:rPr>
          <w:sz w:val="22"/>
        </w:rPr>
        <w:t>1</w:t>
      </w:r>
      <w:r w:rsidRPr="00087DFB">
        <w:rPr>
          <w:sz w:val="22"/>
        </w:rPr>
        <w:t>, 201</w:t>
      </w:r>
      <w:r w:rsidR="00087DFB">
        <w:rPr>
          <w:sz w:val="22"/>
        </w:rPr>
        <w:t>4</w:t>
      </w:r>
      <w:r w:rsidRPr="00087DFB">
        <w:rPr>
          <w:sz w:val="22"/>
        </w:rPr>
        <w:t>, we were in compliance with all covenants under the indenture, the ABL Facility and other agreements.</w:t>
      </w:r>
    </w:p>
    <w:p w:rsidR="00690897" w:rsidRPr="00861EA8" w:rsidRDefault="00690897" w:rsidP="00690897">
      <w:pPr>
        <w:keepNext/>
        <w:keepLines/>
        <w:tabs>
          <w:tab w:val="left" w:pos="-720"/>
          <w:tab w:val="left" w:pos="720"/>
          <w:tab w:val="left" w:pos="1440"/>
        </w:tabs>
        <w:suppressAutoHyphens/>
        <w:spacing w:after="240"/>
        <w:jc w:val="both"/>
        <w:rPr>
          <w:b/>
          <w:bCs/>
          <w:sz w:val="22"/>
        </w:rPr>
      </w:pPr>
      <w:r w:rsidRPr="00861EA8">
        <w:rPr>
          <w:b/>
          <w:bCs/>
          <w:sz w:val="22"/>
        </w:rPr>
        <w:t>Commitments</w:t>
      </w:r>
    </w:p>
    <w:p w:rsidR="00690897" w:rsidRPr="00861EA8" w:rsidRDefault="00A25CCC" w:rsidP="00690897">
      <w:pPr>
        <w:keepNext/>
        <w:keepLines/>
        <w:tabs>
          <w:tab w:val="left" w:pos="-720"/>
          <w:tab w:val="left" w:pos="0"/>
          <w:tab w:val="left" w:pos="720"/>
          <w:tab w:val="left" w:pos="1440"/>
        </w:tabs>
        <w:suppressAutoHyphens/>
        <w:spacing w:after="240"/>
        <w:jc w:val="both"/>
        <w:rPr>
          <w:b/>
          <w:bCs/>
          <w:i/>
          <w:iCs/>
          <w:sz w:val="22"/>
        </w:rPr>
      </w:pPr>
      <w:r w:rsidRPr="00861EA8">
        <w:rPr>
          <w:b/>
          <w:bCs/>
          <w:i/>
          <w:iCs/>
          <w:sz w:val="22"/>
        </w:rPr>
        <w:t>P</w:t>
      </w:r>
      <w:r w:rsidR="00690897" w:rsidRPr="00861EA8">
        <w:rPr>
          <w:b/>
          <w:bCs/>
          <w:i/>
          <w:iCs/>
          <w:sz w:val="22"/>
        </w:rPr>
        <w:t>urchase commitments</w:t>
      </w:r>
    </w:p>
    <w:p w:rsidR="00690897" w:rsidRPr="00861EA8" w:rsidRDefault="00690897" w:rsidP="00690897">
      <w:pPr>
        <w:tabs>
          <w:tab w:val="left" w:pos="-720"/>
        </w:tabs>
        <w:suppressAutoHyphens/>
        <w:spacing w:after="240"/>
        <w:ind w:firstLine="720"/>
        <w:jc w:val="both"/>
        <w:rPr>
          <w:sz w:val="22"/>
        </w:rPr>
      </w:pPr>
      <w:r w:rsidRPr="00861EA8">
        <w:rPr>
          <w:sz w:val="22"/>
        </w:rPr>
        <w:t>Our chassis purchase commitments are</w:t>
      </w:r>
      <w:r w:rsidR="00A25CCC" w:rsidRPr="00861EA8">
        <w:rPr>
          <w:sz w:val="22"/>
        </w:rPr>
        <w:t xml:space="preserve"> generally</w:t>
      </w:r>
      <w:r w:rsidRPr="00861EA8">
        <w:rPr>
          <w:sz w:val="22"/>
        </w:rPr>
        <w:t xml:space="preserve"> related to purchase orders placed for the remanufacture of domestic chassis in the normal course of business and committed chassis acquisitions from shipping lines. We do not bear the risks and rewards of ownership until delivery and therefore do not record an asset or a liability related to these commitments. As of </w:t>
      </w:r>
      <w:r w:rsidR="00861EA8">
        <w:rPr>
          <w:sz w:val="22"/>
        </w:rPr>
        <w:t>March</w:t>
      </w:r>
      <w:r w:rsidRPr="00861EA8">
        <w:rPr>
          <w:sz w:val="22"/>
        </w:rPr>
        <w:t> 3</w:t>
      </w:r>
      <w:r w:rsidR="00861EA8">
        <w:rPr>
          <w:sz w:val="22"/>
        </w:rPr>
        <w:t>1</w:t>
      </w:r>
      <w:r w:rsidRPr="00861EA8">
        <w:rPr>
          <w:sz w:val="22"/>
        </w:rPr>
        <w:t>, 201</w:t>
      </w:r>
      <w:r w:rsidR="00861EA8">
        <w:rPr>
          <w:sz w:val="22"/>
        </w:rPr>
        <w:t>4</w:t>
      </w:r>
      <w:r w:rsidRPr="00861EA8">
        <w:rPr>
          <w:sz w:val="22"/>
        </w:rPr>
        <w:t>, we had commitments totaling $</w:t>
      </w:r>
      <w:r w:rsidR="00631073">
        <w:rPr>
          <w:sz w:val="22"/>
        </w:rPr>
        <w:t>4</w:t>
      </w:r>
      <w:r w:rsidR="00087516" w:rsidRPr="00631073">
        <w:rPr>
          <w:sz w:val="22"/>
        </w:rPr>
        <w:t>.</w:t>
      </w:r>
      <w:r w:rsidR="00631073" w:rsidRPr="00631073">
        <w:rPr>
          <w:sz w:val="22"/>
        </w:rPr>
        <w:t>0</w:t>
      </w:r>
      <w:r w:rsidRPr="00631073">
        <w:rPr>
          <w:sz w:val="22"/>
        </w:rPr>
        <w:t> million for the</w:t>
      </w:r>
      <w:r w:rsidR="009E67C6" w:rsidRPr="00631073">
        <w:rPr>
          <w:sz w:val="22"/>
        </w:rPr>
        <w:t xml:space="preserve"> purchase</w:t>
      </w:r>
      <w:r w:rsidR="009E67C6" w:rsidRPr="00861EA8">
        <w:rPr>
          <w:sz w:val="22"/>
        </w:rPr>
        <w:t xml:space="preserve"> of leasing equipment and the</w:t>
      </w:r>
      <w:r w:rsidRPr="00861EA8">
        <w:rPr>
          <w:sz w:val="22"/>
        </w:rPr>
        <w:t xml:space="preserve"> </w:t>
      </w:r>
      <w:r w:rsidR="004552FA">
        <w:rPr>
          <w:sz w:val="22"/>
        </w:rPr>
        <w:t>refurbishment</w:t>
      </w:r>
      <w:r w:rsidRPr="00861EA8">
        <w:rPr>
          <w:sz w:val="22"/>
        </w:rPr>
        <w:t xml:space="preserve"> of axles.</w:t>
      </w:r>
    </w:p>
    <w:p w:rsidR="00690897" w:rsidRPr="00861EA8" w:rsidRDefault="00690897" w:rsidP="00690897">
      <w:pPr>
        <w:keepNext/>
        <w:keepLines/>
        <w:tabs>
          <w:tab w:val="left" w:pos="-720"/>
          <w:tab w:val="left" w:pos="0"/>
          <w:tab w:val="left" w:pos="720"/>
          <w:tab w:val="left" w:pos="1440"/>
        </w:tabs>
        <w:suppressAutoHyphens/>
        <w:spacing w:after="240"/>
        <w:jc w:val="both"/>
        <w:rPr>
          <w:b/>
          <w:bCs/>
          <w:i/>
          <w:iCs/>
          <w:sz w:val="22"/>
        </w:rPr>
      </w:pPr>
      <w:r w:rsidRPr="00861EA8">
        <w:rPr>
          <w:b/>
          <w:bCs/>
          <w:i/>
          <w:iCs/>
          <w:sz w:val="22"/>
        </w:rPr>
        <w:lastRenderedPageBreak/>
        <w:t>Operating leases</w:t>
      </w:r>
    </w:p>
    <w:p w:rsidR="00690897" w:rsidRPr="00861EA8" w:rsidRDefault="00690897" w:rsidP="00690897">
      <w:pPr>
        <w:tabs>
          <w:tab w:val="left" w:pos="-720"/>
        </w:tabs>
        <w:suppressAutoHyphens/>
        <w:spacing w:after="240"/>
        <w:ind w:firstLine="720"/>
        <w:jc w:val="both"/>
        <w:rPr>
          <w:sz w:val="22"/>
        </w:rPr>
      </w:pPr>
      <w:r w:rsidRPr="00861EA8">
        <w:rPr>
          <w:sz w:val="22"/>
        </w:rPr>
        <w:t xml:space="preserve">We are a party to various operating leases relating to office facilities and certain other equipment with various expiration dates </w:t>
      </w:r>
      <w:r w:rsidRPr="004340D5">
        <w:rPr>
          <w:sz w:val="22"/>
        </w:rPr>
        <w:t>through 2019. Minimum rent payments under our material leases were $</w:t>
      </w:r>
      <w:r w:rsidR="00724F13" w:rsidRPr="004340D5">
        <w:rPr>
          <w:sz w:val="22"/>
        </w:rPr>
        <w:t>8</w:t>
      </w:r>
      <w:r w:rsidRPr="004340D5">
        <w:rPr>
          <w:sz w:val="22"/>
        </w:rPr>
        <w:t>.</w:t>
      </w:r>
      <w:r w:rsidR="00724F13" w:rsidRPr="004340D5">
        <w:rPr>
          <w:sz w:val="22"/>
        </w:rPr>
        <w:t>9</w:t>
      </w:r>
      <w:r w:rsidRPr="004340D5">
        <w:rPr>
          <w:sz w:val="22"/>
        </w:rPr>
        <w:t> million as of</w:t>
      </w:r>
      <w:r w:rsidRPr="00861EA8">
        <w:rPr>
          <w:sz w:val="22"/>
        </w:rPr>
        <w:t xml:space="preserve"> </w:t>
      </w:r>
      <w:r w:rsidR="00861EA8">
        <w:rPr>
          <w:sz w:val="22"/>
        </w:rPr>
        <w:t>March</w:t>
      </w:r>
      <w:r w:rsidRPr="00861EA8">
        <w:rPr>
          <w:sz w:val="22"/>
        </w:rPr>
        <w:t xml:space="preserve"> 3</w:t>
      </w:r>
      <w:r w:rsidR="00861EA8">
        <w:rPr>
          <w:sz w:val="22"/>
        </w:rPr>
        <w:t>1</w:t>
      </w:r>
      <w:r w:rsidRPr="00861EA8">
        <w:rPr>
          <w:sz w:val="22"/>
        </w:rPr>
        <w:t>, 201</w:t>
      </w:r>
      <w:r w:rsidR="00861EA8">
        <w:rPr>
          <w:sz w:val="22"/>
        </w:rPr>
        <w:t>4</w:t>
      </w:r>
      <w:r w:rsidRPr="00861EA8">
        <w:rPr>
          <w:sz w:val="22"/>
        </w:rPr>
        <w:t>.</w:t>
      </w:r>
    </w:p>
    <w:p w:rsidR="00690897" w:rsidRPr="00F61DFD" w:rsidRDefault="00690897" w:rsidP="00690897">
      <w:pPr>
        <w:keepNext/>
        <w:keepLines/>
        <w:tabs>
          <w:tab w:val="left" w:pos="-720"/>
          <w:tab w:val="left" w:pos="720"/>
          <w:tab w:val="left" w:pos="1440"/>
        </w:tabs>
        <w:suppressAutoHyphens/>
        <w:spacing w:after="240"/>
        <w:rPr>
          <w:b/>
          <w:bCs/>
          <w:sz w:val="22"/>
        </w:rPr>
      </w:pPr>
      <w:r w:rsidRPr="00F61DFD">
        <w:rPr>
          <w:b/>
          <w:bCs/>
          <w:sz w:val="22"/>
        </w:rPr>
        <w:t>Off-balance sheet arrangements</w:t>
      </w:r>
    </w:p>
    <w:p w:rsidR="00822B62" w:rsidRPr="00F61DFD" w:rsidRDefault="00690897" w:rsidP="00CE2FB3">
      <w:pPr>
        <w:tabs>
          <w:tab w:val="left" w:pos="-720"/>
        </w:tabs>
        <w:suppressAutoHyphens/>
        <w:spacing w:after="240"/>
        <w:ind w:firstLine="720"/>
        <w:jc w:val="both"/>
        <w:rPr>
          <w:sz w:val="22"/>
        </w:rPr>
      </w:pPr>
      <w:r w:rsidRPr="00F61DFD">
        <w:rPr>
          <w:sz w:val="22"/>
        </w:rPr>
        <w:t>In the ordinary course of business, we execute contracts involving indemnifications standard in the industry and indemnifications specific to a transaction, such as an assignment and assumption agreement. These indemnifications might include claims related to tax matters, governmental regulations, and contractual relationships, among others. Performance under these indemnities would generally be triggered by a breach of terms of the contract or by a third</w:t>
      </w:r>
      <w:r w:rsidRPr="00F61DFD">
        <w:rPr>
          <w:sz w:val="22"/>
        </w:rPr>
        <w:noBreakHyphen/>
        <w:t>party claim. One of the principal types of indemnification for which payment is possible is taxes. The other principal type of indemnity we may agree to is one in favor of certain lenders and chassis pool hosts indemnifying them against certain claims relating to the operation of our chassis, although this type of indemnity generally is covered by insurance or an indemnity in our favor from a third</w:t>
      </w:r>
      <w:r w:rsidRPr="00F61DFD">
        <w:rPr>
          <w:sz w:val="22"/>
        </w:rPr>
        <w:noBreakHyphen/>
        <w:t>party, such as a lessee or a vendor. We regularly evaluate the probability of having to incur costs associated with these indemnifications and have concluded that none are probable. We do not believe such arrangements have or are reasonably likely to have a current or future material effect on our financial condition, revenues and expenses, results of operations, liquidity, capital expenditures or capital resources.</w:t>
      </w:r>
    </w:p>
    <w:p w:rsidR="00542EA8" w:rsidRPr="00F61DFD" w:rsidRDefault="00690897" w:rsidP="00542EA8">
      <w:pPr>
        <w:tabs>
          <w:tab w:val="left" w:pos="-720"/>
        </w:tabs>
        <w:suppressAutoHyphens/>
        <w:spacing w:after="240"/>
        <w:ind w:firstLine="720"/>
        <w:jc w:val="both"/>
        <w:rPr>
          <w:sz w:val="22"/>
        </w:rPr>
      </w:pPr>
      <w:r w:rsidRPr="00F61DFD">
        <w:rPr>
          <w:sz w:val="22"/>
        </w:rPr>
        <w:t xml:space="preserve">Pursuant to our tax-related indemnifications, the indemnified party is typically protected from certain events that result in a tax treatment different from that originally anticipated. Our liability is typically fixed when a final determination of the indemnified party’s tax liability is made. In some cases, a payment under a tax indemnification may be offset in whole or in part by refunds from the applicable governmental taxing authority. We are party to </w:t>
      </w:r>
      <w:r w:rsidR="00E117DC" w:rsidRPr="00F61DFD">
        <w:rPr>
          <w:sz w:val="22"/>
        </w:rPr>
        <w:t>various</w:t>
      </w:r>
      <w:r w:rsidRPr="00F61DFD">
        <w:rPr>
          <w:sz w:val="22"/>
        </w:rPr>
        <w:t xml:space="preserve"> tax indemnifications and many of these indemnities do not limit potential payment; therefore, we are unable to estimate a maximum amount of potential future payments that could result from claims made under these indemnities.</w:t>
      </w:r>
    </w:p>
    <w:p w:rsidR="000538F6" w:rsidRPr="00120188" w:rsidRDefault="00690897" w:rsidP="00120188">
      <w:pPr>
        <w:tabs>
          <w:tab w:val="left" w:pos="-720"/>
        </w:tabs>
        <w:suppressAutoHyphens/>
        <w:spacing w:after="240"/>
        <w:ind w:firstLine="720"/>
        <w:jc w:val="both"/>
        <w:rPr>
          <w:sz w:val="22"/>
        </w:rPr>
      </w:pPr>
      <w:r w:rsidRPr="00F61DFD">
        <w:rPr>
          <w:sz w:val="22"/>
        </w:rPr>
        <w:t>Operating leases are part of our off-balance sheet arrangements. For more information on our liability under operating leases, see “—Commitments—Operating leases”.</w:t>
      </w:r>
    </w:p>
    <w:p w:rsidR="00BB2C1C" w:rsidRPr="00F61DFD" w:rsidRDefault="00F61DFD" w:rsidP="00BB2C1C">
      <w:pPr>
        <w:keepNext/>
        <w:keepLines/>
        <w:widowControl/>
        <w:tabs>
          <w:tab w:val="left" w:pos="-720"/>
          <w:tab w:val="left" w:pos="720"/>
          <w:tab w:val="left" w:pos="1440"/>
        </w:tabs>
        <w:suppressAutoHyphens/>
        <w:spacing w:after="240"/>
        <w:rPr>
          <w:b/>
          <w:bCs/>
          <w:sz w:val="22"/>
        </w:rPr>
      </w:pPr>
      <w:r w:rsidRPr="00F61DFD">
        <w:rPr>
          <w:b/>
          <w:bCs/>
          <w:sz w:val="22"/>
        </w:rPr>
        <w:t>Emergi</w:t>
      </w:r>
      <w:r w:rsidR="00BB2C1C" w:rsidRPr="00F61DFD">
        <w:rPr>
          <w:b/>
          <w:bCs/>
          <w:sz w:val="22"/>
        </w:rPr>
        <w:t>ng Growth Company</w:t>
      </w:r>
    </w:p>
    <w:p w:rsidR="00BB2C1C" w:rsidRDefault="00BB2C1C" w:rsidP="003647F4">
      <w:pPr>
        <w:widowControl/>
        <w:tabs>
          <w:tab w:val="left" w:pos="-720"/>
        </w:tabs>
        <w:suppressAutoHyphens/>
        <w:spacing w:after="240"/>
        <w:ind w:firstLine="720"/>
        <w:jc w:val="both"/>
        <w:rPr>
          <w:sz w:val="22"/>
        </w:rPr>
      </w:pPr>
      <w:r w:rsidRPr="00F61DFD">
        <w:rPr>
          <w:sz w:val="22"/>
        </w:rPr>
        <w:t>Section 107 of the JOBS Act provides that an “emerging growth company” can take advantage of the extended transition period provided in Section 7(a)(2)(B) of the Securities Act for complying with new or revised accounting standards after April 5, 2012. However, we are choosing to “opt out” of such extended transition period and as a result, we will comply with the new or revised accounting standards on the relevant dates on which adoption of such standards is required for non-emerging growth companies. Our decision to opt out of the extended transition period for complying with new or revised accounting standards is irrevocable.</w:t>
      </w:r>
    </w:p>
    <w:p w:rsidR="00120188" w:rsidRDefault="00120188" w:rsidP="003647F4">
      <w:pPr>
        <w:widowControl/>
        <w:tabs>
          <w:tab w:val="left" w:pos="-720"/>
        </w:tabs>
        <w:suppressAutoHyphens/>
        <w:spacing w:after="240"/>
        <w:ind w:firstLine="720"/>
        <w:jc w:val="both"/>
        <w:rPr>
          <w:sz w:val="22"/>
        </w:rPr>
      </w:pPr>
    </w:p>
    <w:p w:rsidR="001836F1" w:rsidRDefault="001836F1" w:rsidP="003647F4">
      <w:pPr>
        <w:widowControl/>
        <w:tabs>
          <w:tab w:val="left" w:pos="-720"/>
        </w:tabs>
        <w:suppressAutoHyphens/>
        <w:spacing w:after="240"/>
        <w:ind w:firstLine="720"/>
        <w:jc w:val="both"/>
        <w:rPr>
          <w:sz w:val="22"/>
        </w:rPr>
      </w:pPr>
    </w:p>
    <w:p w:rsidR="000C0054" w:rsidRPr="00F61DFD" w:rsidRDefault="000C0054" w:rsidP="00660ABB">
      <w:pPr>
        <w:widowControl/>
        <w:tabs>
          <w:tab w:val="left" w:pos="-720"/>
        </w:tabs>
        <w:suppressAutoHyphens/>
        <w:spacing w:after="240"/>
        <w:jc w:val="both"/>
        <w:rPr>
          <w:sz w:val="22"/>
        </w:rPr>
      </w:pPr>
    </w:p>
    <w:p w:rsidR="00690897" w:rsidRPr="00F61DFD" w:rsidRDefault="00690897" w:rsidP="00690897">
      <w:pPr>
        <w:tabs>
          <w:tab w:val="left" w:pos="-720"/>
        </w:tabs>
        <w:suppressAutoHyphens/>
        <w:spacing w:after="240"/>
        <w:jc w:val="both"/>
        <w:rPr>
          <w:b/>
          <w:sz w:val="22"/>
        </w:rPr>
      </w:pPr>
      <w:r w:rsidRPr="00F61DFD">
        <w:rPr>
          <w:b/>
          <w:sz w:val="22"/>
        </w:rPr>
        <w:lastRenderedPageBreak/>
        <w:t>Non-GAAP Measures</w:t>
      </w:r>
    </w:p>
    <w:p w:rsidR="00690897" w:rsidRPr="00F61DFD" w:rsidRDefault="00690897" w:rsidP="00690897">
      <w:pPr>
        <w:tabs>
          <w:tab w:val="left" w:pos="-720"/>
        </w:tabs>
        <w:suppressAutoHyphens/>
        <w:spacing w:after="240"/>
        <w:jc w:val="both"/>
        <w:rPr>
          <w:b/>
          <w:sz w:val="22"/>
        </w:rPr>
      </w:pPr>
      <w:r w:rsidRPr="00F61DFD">
        <w:rPr>
          <w:b/>
          <w:sz w:val="22"/>
        </w:rPr>
        <w:t>Adjusted Net</w:t>
      </w:r>
      <w:r w:rsidR="008F6594" w:rsidRPr="00F61DFD">
        <w:rPr>
          <w:b/>
          <w:sz w:val="22"/>
        </w:rPr>
        <w:t xml:space="preserve"> (Loss)</w:t>
      </w:r>
      <w:r w:rsidRPr="00F61DFD">
        <w:rPr>
          <w:b/>
          <w:sz w:val="22"/>
        </w:rPr>
        <w:t xml:space="preserve"> Income</w:t>
      </w:r>
    </w:p>
    <w:p w:rsidR="00690897" w:rsidRPr="00E86AEB" w:rsidRDefault="008F6594" w:rsidP="00690897">
      <w:pPr>
        <w:tabs>
          <w:tab w:val="left" w:pos="-720"/>
          <w:tab w:val="left" w:pos="0"/>
        </w:tabs>
        <w:suppressAutoHyphens/>
        <w:spacing w:after="240"/>
        <w:jc w:val="both"/>
        <w:rPr>
          <w:sz w:val="22"/>
        </w:rPr>
      </w:pPr>
      <w:r w:rsidRPr="00E86AEB">
        <w:rPr>
          <w:sz w:val="22"/>
        </w:rPr>
        <w:tab/>
      </w:r>
      <w:r w:rsidR="00690897" w:rsidRPr="00E86AEB">
        <w:rPr>
          <w:sz w:val="22"/>
        </w:rPr>
        <w:t>Adjusted net (loss) income is a measure of financial and operating performance that is not defined by U.S. GAAP and should not be considered a substitute for net income, income from operations or cash flow from operations, as determined in accordance with U.S. GAAP. Adjusted net (loss) income is a measure of our operating and financial performance used by management to focus on consolidated financial and operating performance exclusive of income and expenses that relate to non-routine or significant non-cash items of the business.</w:t>
      </w:r>
    </w:p>
    <w:p w:rsidR="000538F6" w:rsidRPr="001836F1" w:rsidRDefault="00690897" w:rsidP="001836F1">
      <w:pPr>
        <w:tabs>
          <w:tab w:val="left" w:pos="-720"/>
        </w:tabs>
        <w:suppressAutoHyphens/>
        <w:spacing w:after="240"/>
        <w:ind w:firstLine="720"/>
        <w:jc w:val="both"/>
        <w:rPr>
          <w:sz w:val="22"/>
        </w:rPr>
      </w:pPr>
      <w:r w:rsidRPr="00E86AEB">
        <w:rPr>
          <w:sz w:val="22"/>
        </w:rPr>
        <w:t>We define adjusted net (loss) income as net (loss) income before non-cash interest expense related to</w:t>
      </w:r>
      <w:r w:rsidR="00E86AEB">
        <w:rPr>
          <w:sz w:val="22"/>
        </w:rPr>
        <w:t xml:space="preserve"> </w:t>
      </w:r>
      <w:r w:rsidRPr="00E86AEB">
        <w:rPr>
          <w:sz w:val="22"/>
        </w:rPr>
        <w:t xml:space="preserve">deferred financing fees, non-cash </w:t>
      </w:r>
      <w:r w:rsidR="00431D93">
        <w:rPr>
          <w:sz w:val="22"/>
        </w:rPr>
        <w:t>share-based</w:t>
      </w:r>
      <w:r w:rsidRPr="00E86AEB">
        <w:rPr>
          <w:sz w:val="22"/>
        </w:rPr>
        <w:t xml:space="preserve"> compensation, loss on </w:t>
      </w:r>
      <w:r w:rsidR="00864BFA">
        <w:rPr>
          <w:sz w:val="22"/>
        </w:rPr>
        <w:t>modification and extinguishment of debt and capital lease obligations</w:t>
      </w:r>
      <w:r w:rsidRPr="00E86AEB">
        <w:rPr>
          <w:sz w:val="22"/>
        </w:rPr>
        <w:t>, and terminations, modification, and fair value adjustments of derivative instruments. We use adjusted net (loss) income to assess our consolidated financial and operating performance, and we believe this non-GAAP measure is helpful to management and investors in identifying trends in our performance. This measure helps management make decisions that are expected to facilitate meeting current financial goals as well as achieve optimal financial performance. Adjusted net (loss) income provides us with a measure of financial performance of the business based on operational factors, including the profitability of assets on an economic basis, net of operating expenses, and the capital costs of the business on a consistent basis as it removes the impact of certain non-routine and non-cash items from our operating results. Adjusted net (loss) income is a key metric used by senior management and our board of directors to review the consolidated financial performance of the business.</w:t>
      </w:r>
    </w:p>
    <w:p w:rsidR="00690897" w:rsidRPr="00EF21C1" w:rsidRDefault="00690897" w:rsidP="00690897">
      <w:pPr>
        <w:tabs>
          <w:tab w:val="left" w:pos="-720"/>
        </w:tabs>
        <w:suppressAutoHyphens/>
        <w:spacing w:after="240"/>
        <w:ind w:firstLine="720"/>
        <w:jc w:val="both"/>
        <w:rPr>
          <w:sz w:val="22"/>
        </w:rPr>
      </w:pPr>
      <w:r w:rsidRPr="00EF21C1">
        <w:rPr>
          <w:sz w:val="22"/>
        </w:rPr>
        <w:t xml:space="preserve">The following table shows the reconciliation of net </w:t>
      </w:r>
      <w:r w:rsidR="009A588D">
        <w:rPr>
          <w:sz w:val="22"/>
        </w:rPr>
        <w:t>income (</w:t>
      </w:r>
      <w:r w:rsidRPr="00EF21C1">
        <w:rPr>
          <w:sz w:val="22"/>
        </w:rPr>
        <w:t>loss</w:t>
      </w:r>
      <w:r w:rsidR="009A588D">
        <w:rPr>
          <w:sz w:val="22"/>
        </w:rPr>
        <w:t>)</w:t>
      </w:r>
      <w:r w:rsidRPr="00EF21C1">
        <w:rPr>
          <w:sz w:val="22"/>
        </w:rPr>
        <w:t>, the most directly comparable U.S. GAAP measure, to adjusted net income:</w:t>
      </w:r>
    </w:p>
    <w:tbl>
      <w:tblPr>
        <w:tblW w:w="4017" w:type="pct"/>
        <w:jc w:val="center"/>
        <w:tblInd w:w="-735" w:type="dxa"/>
        <w:tblCellMar>
          <w:left w:w="72" w:type="dxa"/>
          <w:right w:w="72" w:type="dxa"/>
        </w:tblCellMar>
        <w:tblLook w:val="0000" w:firstRow="0" w:lastRow="0" w:firstColumn="0" w:lastColumn="0" w:noHBand="0" w:noVBand="0"/>
      </w:tblPr>
      <w:tblGrid>
        <w:gridCol w:w="5853"/>
        <w:gridCol w:w="1214"/>
        <w:gridCol w:w="1147"/>
      </w:tblGrid>
      <w:tr w:rsidR="00EF21C1" w:rsidRPr="0053635E" w:rsidTr="00EF21C1">
        <w:trPr>
          <w:cantSplit/>
          <w:jc w:val="center"/>
        </w:trPr>
        <w:tc>
          <w:tcPr>
            <w:tcW w:w="3563" w:type="pct"/>
            <w:tcBorders>
              <w:top w:val="nil"/>
              <w:left w:val="nil"/>
              <w:bottom w:val="nil"/>
              <w:right w:val="nil"/>
            </w:tcBorders>
          </w:tcPr>
          <w:p w:rsidR="00EF21C1" w:rsidRPr="00EF21C1" w:rsidRDefault="00EF21C1" w:rsidP="00690897">
            <w:pPr>
              <w:tabs>
                <w:tab w:val="right" w:leader="dot" w:pos="7001"/>
              </w:tabs>
              <w:suppressAutoHyphens/>
              <w:ind w:left="200" w:hanging="200"/>
              <w:rPr>
                <w:sz w:val="22"/>
              </w:rPr>
            </w:pPr>
          </w:p>
        </w:tc>
        <w:tc>
          <w:tcPr>
            <w:tcW w:w="739" w:type="pct"/>
            <w:tcBorders>
              <w:top w:val="nil"/>
              <w:left w:val="nil"/>
              <w:right w:val="nil"/>
            </w:tcBorders>
          </w:tcPr>
          <w:p w:rsidR="00EF21C1" w:rsidRPr="0053635E" w:rsidRDefault="00EF21C1"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698" w:type="pct"/>
            <w:tcBorders>
              <w:top w:val="nil"/>
              <w:left w:val="nil"/>
              <w:right w:val="nil"/>
            </w:tcBorders>
            <w:vAlign w:val="bottom"/>
          </w:tcPr>
          <w:p w:rsidR="00EF21C1" w:rsidRPr="0053635E" w:rsidRDefault="00EF21C1"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EF21C1" w:rsidRPr="0084214B" w:rsidTr="00EF21C1">
        <w:trPr>
          <w:cantSplit/>
          <w:jc w:val="center"/>
        </w:trPr>
        <w:tc>
          <w:tcPr>
            <w:tcW w:w="3563" w:type="pct"/>
            <w:tcBorders>
              <w:top w:val="nil"/>
              <w:left w:val="nil"/>
              <w:bottom w:val="nil"/>
              <w:right w:val="nil"/>
            </w:tcBorders>
            <w:vAlign w:val="bottom"/>
          </w:tcPr>
          <w:p w:rsidR="00EF21C1" w:rsidRPr="00EF21C1" w:rsidRDefault="00EF21C1" w:rsidP="00690897">
            <w:pP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22"/>
              </w:rPr>
            </w:pPr>
          </w:p>
        </w:tc>
        <w:tc>
          <w:tcPr>
            <w:tcW w:w="1437" w:type="pct"/>
            <w:gridSpan w:val="2"/>
            <w:tcBorders>
              <w:top w:val="nil"/>
              <w:left w:val="nil"/>
              <w:bottom w:val="single" w:sz="4" w:space="0" w:color="auto"/>
              <w:right w:val="nil"/>
            </w:tcBorders>
          </w:tcPr>
          <w:p w:rsidR="00EF21C1" w:rsidRPr="0084214B" w:rsidRDefault="00EF21C1" w:rsidP="00EF21C1">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b/>
                <w:sz w:val="22"/>
              </w:rPr>
            </w:pPr>
            <w:r w:rsidRPr="0084214B">
              <w:rPr>
                <w:b/>
                <w:sz w:val="22"/>
              </w:rPr>
              <w:t>Three Months Ended March 31,</w:t>
            </w:r>
          </w:p>
        </w:tc>
      </w:tr>
      <w:tr w:rsidR="00EF21C1" w:rsidRPr="0084214B" w:rsidTr="00EF21C1">
        <w:trPr>
          <w:cantSplit/>
          <w:trHeight w:val="153"/>
          <w:jc w:val="center"/>
        </w:trPr>
        <w:tc>
          <w:tcPr>
            <w:tcW w:w="3563" w:type="pct"/>
            <w:tcBorders>
              <w:top w:val="nil"/>
              <w:left w:val="nil"/>
              <w:bottom w:val="nil"/>
              <w:right w:val="nil"/>
            </w:tcBorders>
          </w:tcPr>
          <w:p w:rsidR="00EF21C1" w:rsidRPr="00EF21C1" w:rsidRDefault="00891D4E" w:rsidP="00690897">
            <w:pPr>
              <w:tabs>
                <w:tab w:val="right" w:leader="dot" w:pos="7001"/>
              </w:tabs>
              <w:suppressAutoHyphens/>
              <w:ind w:left="200" w:hanging="200"/>
              <w:rPr>
                <w:sz w:val="22"/>
              </w:rPr>
            </w:pPr>
            <w:r w:rsidRPr="00EF21C1">
              <w:rPr>
                <w:b/>
                <w:bCs/>
                <w:sz w:val="22"/>
              </w:rPr>
              <w:t>(dollars in thousands)</w:t>
            </w:r>
          </w:p>
        </w:tc>
        <w:tc>
          <w:tcPr>
            <w:tcW w:w="739" w:type="pct"/>
            <w:tcBorders>
              <w:top w:val="single" w:sz="4" w:space="0" w:color="auto"/>
              <w:left w:val="nil"/>
              <w:bottom w:val="nil"/>
              <w:right w:val="nil"/>
            </w:tcBorders>
            <w:vAlign w:val="bottom"/>
          </w:tcPr>
          <w:p w:rsidR="00EF21C1" w:rsidRPr="0084214B" w:rsidRDefault="00EF21C1" w:rsidP="00EF21C1">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84214B">
              <w:rPr>
                <w:b/>
                <w:bCs/>
                <w:sz w:val="22"/>
              </w:rPr>
              <w:t>2014</w:t>
            </w:r>
          </w:p>
        </w:tc>
        <w:tc>
          <w:tcPr>
            <w:tcW w:w="698" w:type="pct"/>
            <w:tcBorders>
              <w:top w:val="single" w:sz="4" w:space="0" w:color="auto"/>
              <w:left w:val="nil"/>
              <w:bottom w:val="nil"/>
              <w:right w:val="nil"/>
            </w:tcBorders>
            <w:vAlign w:val="bottom"/>
          </w:tcPr>
          <w:p w:rsidR="00EF21C1" w:rsidRPr="0084214B" w:rsidRDefault="00EF21C1" w:rsidP="00EF21C1">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84214B">
              <w:rPr>
                <w:b/>
                <w:bCs/>
                <w:sz w:val="22"/>
              </w:rPr>
              <w:t>2013</w:t>
            </w:r>
          </w:p>
        </w:tc>
      </w:tr>
      <w:tr w:rsidR="00EF21C1" w:rsidRPr="0053635E" w:rsidTr="00EF21C1">
        <w:trPr>
          <w:cantSplit/>
          <w:jc w:val="center"/>
        </w:trPr>
        <w:tc>
          <w:tcPr>
            <w:tcW w:w="3563" w:type="pct"/>
            <w:tcBorders>
              <w:top w:val="nil"/>
              <w:left w:val="nil"/>
              <w:bottom w:val="nil"/>
              <w:right w:val="nil"/>
            </w:tcBorders>
          </w:tcPr>
          <w:p w:rsidR="00EF21C1" w:rsidRPr="00EF21C1" w:rsidRDefault="00EF21C1" w:rsidP="00690897">
            <w:pPr>
              <w:suppressAutoHyphens/>
              <w:ind w:left="200" w:hanging="200"/>
              <w:rPr>
                <w:sz w:val="22"/>
              </w:rPr>
            </w:pPr>
            <w:r w:rsidRPr="00EF21C1">
              <w:rPr>
                <w:sz w:val="22"/>
              </w:rPr>
              <w:t xml:space="preserve">Net </w:t>
            </w:r>
            <w:r w:rsidR="003C2A46">
              <w:rPr>
                <w:sz w:val="22"/>
              </w:rPr>
              <w:t>income (</w:t>
            </w:r>
            <w:r w:rsidRPr="00EF21C1">
              <w:rPr>
                <w:sz w:val="22"/>
              </w:rPr>
              <w:t>loss</w:t>
            </w:r>
            <w:r w:rsidR="003C2A46">
              <w:rPr>
                <w:sz w:val="22"/>
              </w:rPr>
              <w:t>)</w:t>
            </w:r>
            <w:r w:rsidRPr="00EF21C1">
              <w:rPr>
                <w:sz w:val="22"/>
              </w:rPr>
              <w:tab/>
            </w:r>
          </w:p>
        </w:tc>
        <w:tc>
          <w:tcPr>
            <w:tcW w:w="739" w:type="pct"/>
            <w:tcBorders>
              <w:top w:val="nil"/>
              <w:left w:val="nil"/>
              <w:bottom w:val="nil"/>
              <w:right w:val="nil"/>
            </w:tcBorders>
            <w:vAlign w:val="bottom"/>
          </w:tcPr>
          <w:p w:rsidR="00EF21C1" w:rsidRPr="00E95579" w:rsidRDefault="00EF21C1" w:rsidP="00E95579">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95579">
              <w:rPr>
                <w:sz w:val="22"/>
              </w:rPr>
              <w:t xml:space="preserve">$    </w:t>
            </w:r>
            <w:r w:rsidR="00E95579" w:rsidRPr="00E95579">
              <w:rPr>
                <w:sz w:val="22"/>
              </w:rPr>
              <w:t xml:space="preserve"> </w:t>
            </w:r>
            <w:r w:rsidRPr="00E95579">
              <w:rPr>
                <w:sz w:val="22"/>
              </w:rPr>
              <w:t xml:space="preserve"> </w:t>
            </w:r>
            <w:r w:rsidR="00E95579" w:rsidRPr="00E95579">
              <w:rPr>
                <w:sz w:val="22"/>
              </w:rPr>
              <w:t xml:space="preserve">  5</w:t>
            </w:r>
            <w:r w:rsidRPr="00E95579">
              <w:rPr>
                <w:sz w:val="22"/>
              </w:rPr>
              <w:t>,</w:t>
            </w:r>
            <w:r w:rsidR="00E95579" w:rsidRPr="00E95579">
              <w:rPr>
                <w:sz w:val="22"/>
              </w:rPr>
              <w:t>474</w:t>
            </w:r>
          </w:p>
        </w:tc>
        <w:tc>
          <w:tcPr>
            <w:tcW w:w="698" w:type="pct"/>
            <w:tcBorders>
              <w:top w:val="nil"/>
              <w:left w:val="nil"/>
              <w:bottom w:val="nil"/>
              <w:right w:val="nil"/>
            </w:tcBorders>
            <w:vAlign w:val="bottom"/>
          </w:tcPr>
          <w:p w:rsidR="00EF21C1" w:rsidRPr="003C2A46" w:rsidRDefault="00EF21C1" w:rsidP="003C2A46">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C2A46">
              <w:rPr>
                <w:sz w:val="22"/>
              </w:rPr>
              <w:t xml:space="preserve">$ </w:t>
            </w:r>
            <w:r w:rsidR="003C2A46">
              <w:rPr>
                <w:sz w:val="22"/>
              </w:rPr>
              <w:t xml:space="preserve">   </w:t>
            </w:r>
            <w:r w:rsidRPr="003C2A46">
              <w:rPr>
                <w:sz w:val="22"/>
              </w:rPr>
              <w:t xml:space="preserve">   (</w:t>
            </w:r>
            <w:r w:rsidR="003C2A46" w:rsidRPr="003C2A46">
              <w:rPr>
                <w:sz w:val="22"/>
              </w:rPr>
              <w:t>435</w:t>
            </w:r>
            <w:r w:rsidRPr="003C2A46">
              <w:rPr>
                <w:sz w:val="22"/>
              </w:rPr>
              <w:t>)</w:t>
            </w:r>
          </w:p>
        </w:tc>
      </w:tr>
      <w:tr w:rsidR="00EF21C1" w:rsidRPr="0053635E" w:rsidTr="00EF21C1">
        <w:trPr>
          <w:cantSplit/>
          <w:jc w:val="center"/>
        </w:trPr>
        <w:tc>
          <w:tcPr>
            <w:tcW w:w="3563" w:type="pct"/>
            <w:tcBorders>
              <w:top w:val="nil"/>
              <w:left w:val="nil"/>
              <w:bottom w:val="nil"/>
              <w:right w:val="nil"/>
            </w:tcBorders>
          </w:tcPr>
          <w:p w:rsidR="00EF21C1" w:rsidRPr="00EF21C1" w:rsidRDefault="00EF21C1" w:rsidP="00690897">
            <w:pPr>
              <w:suppressAutoHyphens/>
              <w:ind w:left="200" w:hanging="200"/>
              <w:rPr>
                <w:sz w:val="22"/>
              </w:rPr>
            </w:pPr>
            <w:r w:rsidRPr="00EF21C1">
              <w:rPr>
                <w:sz w:val="22"/>
              </w:rPr>
              <w:t>Non-cash interest expense, net of tax</w:t>
            </w:r>
            <w:r w:rsidRPr="00EF21C1">
              <w:rPr>
                <w:sz w:val="22"/>
              </w:rPr>
              <w:tab/>
            </w:r>
          </w:p>
        </w:tc>
        <w:tc>
          <w:tcPr>
            <w:tcW w:w="739" w:type="pct"/>
            <w:tcBorders>
              <w:top w:val="nil"/>
              <w:left w:val="nil"/>
              <w:bottom w:val="nil"/>
              <w:right w:val="nil"/>
            </w:tcBorders>
            <w:vAlign w:val="bottom"/>
          </w:tcPr>
          <w:p w:rsidR="00EF21C1" w:rsidRPr="00E95579" w:rsidRDefault="00EF21C1" w:rsidP="00E95579">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95579">
              <w:rPr>
                <w:sz w:val="22"/>
              </w:rPr>
              <w:t>9</w:t>
            </w:r>
            <w:r w:rsidR="00E95579" w:rsidRPr="00E95579">
              <w:rPr>
                <w:sz w:val="22"/>
              </w:rPr>
              <w:t>78</w:t>
            </w:r>
          </w:p>
        </w:tc>
        <w:tc>
          <w:tcPr>
            <w:tcW w:w="698" w:type="pct"/>
            <w:tcBorders>
              <w:top w:val="nil"/>
              <w:left w:val="nil"/>
              <w:bottom w:val="nil"/>
              <w:right w:val="nil"/>
            </w:tcBorders>
            <w:vAlign w:val="bottom"/>
          </w:tcPr>
          <w:p w:rsidR="00EF21C1" w:rsidRPr="003C2A46" w:rsidRDefault="003C2A46" w:rsidP="003C2A46">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C2A46">
              <w:rPr>
                <w:sz w:val="22"/>
              </w:rPr>
              <w:t>951</w:t>
            </w:r>
          </w:p>
        </w:tc>
      </w:tr>
      <w:tr w:rsidR="00EF21C1" w:rsidRPr="0053635E" w:rsidTr="00EF21C1">
        <w:trPr>
          <w:cantSplit/>
          <w:jc w:val="center"/>
        </w:trPr>
        <w:tc>
          <w:tcPr>
            <w:tcW w:w="3563" w:type="pct"/>
            <w:tcBorders>
              <w:top w:val="nil"/>
              <w:left w:val="nil"/>
              <w:bottom w:val="nil"/>
              <w:right w:val="nil"/>
            </w:tcBorders>
          </w:tcPr>
          <w:p w:rsidR="00EF21C1" w:rsidRPr="00EF21C1" w:rsidRDefault="00EF21C1" w:rsidP="00431D93">
            <w:pPr>
              <w:suppressAutoHyphens/>
              <w:ind w:left="200" w:hanging="200"/>
              <w:rPr>
                <w:sz w:val="22"/>
              </w:rPr>
            </w:pPr>
            <w:r w:rsidRPr="00EF21C1">
              <w:rPr>
                <w:sz w:val="22"/>
              </w:rPr>
              <w:t xml:space="preserve">Non-cash </w:t>
            </w:r>
            <w:r w:rsidR="00431D93">
              <w:rPr>
                <w:sz w:val="22"/>
              </w:rPr>
              <w:t>share-based</w:t>
            </w:r>
            <w:r w:rsidRPr="00EF21C1">
              <w:rPr>
                <w:sz w:val="22"/>
              </w:rPr>
              <w:t xml:space="preserve"> compensation, net of tax</w:t>
            </w:r>
            <w:r w:rsidRPr="00EF21C1">
              <w:rPr>
                <w:sz w:val="22"/>
              </w:rPr>
              <w:tab/>
            </w:r>
          </w:p>
        </w:tc>
        <w:tc>
          <w:tcPr>
            <w:tcW w:w="739" w:type="pct"/>
            <w:tcBorders>
              <w:top w:val="nil"/>
              <w:left w:val="nil"/>
              <w:bottom w:val="nil"/>
              <w:right w:val="nil"/>
            </w:tcBorders>
            <w:vAlign w:val="bottom"/>
          </w:tcPr>
          <w:p w:rsidR="00EF21C1" w:rsidRPr="00E95579" w:rsidRDefault="00E95579" w:rsidP="00E95579">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95579">
              <w:rPr>
                <w:sz w:val="22"/>
              </w:rPr>
              <w:t>131</w:t>
            </w:r>
          </w:p>
        </w:tc>
        <w:tc>
          <w:tcPr>
            <w:tcW w:w="698" w:type="pct"/>
            <w:tcBorders>
              <w:top w:val="nil"/>
              <w:left w:val="nil"/>
              <w:bottom w:val="nil"/>
              <w:right w:val="nil"/>
            </w:tcBorders>
            <w:vAlign w:val="bottom"/>
          </w:tcPr>
          <w:p w:rsidR="00EF21C1" w:rsidRPr="003C2A46" w:rsidRDefault="003C2A46" w:rsidP="003C2A46">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C2A46">
              <w:rPr>
                <w:sz w:val="22"/>
              </w:rPr>
              <w:t>169</w:t>
            </w:r>
          </w:p>
        </w:tc>
      </w:tr>
      <w:tr w:rsidR="00EF21C1" w:rsidRPr="0053635E" w:rsidTr="00EF21C1">
        <w:trPr>
          <w:cantSplit/>
          <w:jc w:val="center"/>
        </w:trPr>
        <w:tc>
          <w:tcPr>
            <w:tcW w:w="3563" w:type="pct"/>
            <w:tcBorders>
              <w:top w:val="nil"/>
              <w:left w:val="nil"/>
              <w:bottom w:val="nil"/>
              <w:right w:val="nil"/>
            </w:tcBorders>
          </w:tcPr>
          <w:p w:rsidR="00EF21C1" w:rsidRPr="00EF21C1" w:rsidRDefault="003C2A46" w:rsidP="009D1529">
            <w:pPr>
              <w:suppressAutoHyphens/>
              <w:ind w:left="200" w:hanging="200"/>
              <w:rPr>
                <w:sz w:val="22"/>
              </w:rPr>
            </w:pPr>
            <w:r>
              <w:rPr>
                <w:sz w:val="22"/>
              </w:rPr>
              <w:t>Loss on modification and extinguishment of debt and capital lease obligations</w:t>
            </w:r>
            <w:r w:rsidR="00EF21C1" w:rsidRPr="00EF21C1">
              <w:rPr>
                <w:sz w:val="22"/>
              </w:rPr>
              <w:tab/>
            </w:r>
          </w:p>
        </w:tc>
        <w:tc>
          <w:tcPr>
            <w:tcW w:w="739" w:type="pct"/>
            <w:tcBorders>
              <w:top w:val="nil"/>
              <w:left w:val="nil"/>
              <w:bottom w:val="nil"/>
              <w:right w:val="nil"/>
            </w:tcBorders>
            <w:vAlign w:val="bottom"/>
          </w:tcPr>
          <w:p w:rsidR="00EF21C1" w:rsidRPr="00E95579" w:rsidRDefault="00E95579" w:rsidP="00E95579">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95579">
              <w:rPr>
                <w:sz w:val="22"/>
              </w:rPr>
              <w:t>13</w:t>
            </w:r>
          </w:p>
        </w:tc>
        <w:tc>
          <w:tcPr>
            <w:tcW w:w="698" w:type="pct"/>
            <w:tcBorders>
              <w:top w:val="nil"/>
              <w:left w:val="nil"/>
              <w:bottom w:val="nil"/>
              <w:right w:val="nil"/>
            </w:tcBorders>
            <w:vAlign w:val="bottom"/>
          </w:tcPr>
          <w:p w:rsidR="00EF21C1" w:rsidRPr="003C2A46" w:rsidRDefault="003C2A46" w:rsidP="003C2A46">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C2A46">
              <w:rPr>
                <w:sz w:val="22"/>
              </w:rPr>
              <w:t>388</w:t>
            </w:r>
          </w:p>
        </w:tc>
      </w:tr>
      <w:tr w:rsidR="00EF21C1" w:rsidRPr="0053635E" w:rsidTr="00EF21C1">
        <w:trPr>
          <w:cantSplit/>
          <w:jc w:val="center"/>
        </w:trPr>
        <w:tc>
          <w:tcPr>
            <w:tcW w:w="3563" w:type="pct"/>
            <w:tcBorders>
              <w:top w:val="nil"/>
              <w:left w:val="nil"/>
              <w:bottom w:val="nil"/>
              <w:right w:val="nil"/>
            </w:tcBorders>
          </w:tcPr>
          <w:p w:rsidR="00EF21C1" w:rsidRPr="00EF21C1" w:rsidRDefault="00EF21C1" w:rsidP="00EF21C1">
            <w:pPr>
              <w:suppressAutoHyphens/>
              <w:ind w:left="200" w:hanging="200"/>
              <w:rPr>
                <w:sz w:val="22"/>
              </w:rPr>
            </w:pPr>
            <w:r w:rsidRPr="00EF21C1">
              <w:rPr>
                <w:sz w:val="22"/>
              </w:rPr>
              <w:t>Loss on termination and modification of derivative instruments, net of tax</w:t>
            </w:r>
            <w:r w:rsidRPr="00EF21C1">
              <w:rPr>
                <w:sz w:val="22"/>
              </w:rPr>
              <w:tab/>
            </w:r>
          </w:p>
        </w:tc>
        <w:tc>
          <w:tcPr>
            <w:tcW w:w="739" w:type="pct"/>
            <w:tcBorders>
              <w:top w:val="nil"/>
              <w:left w:val="nil"/>
              <w:bottom w:val="nil"/>
              <w:right w:val="nil"/>
            </w:tcBorders>
            <w:vAlign w:val="bottom"/>
          </w:tcPr>
          <w:p w:rsidR="00EF21C1" w:rsidRPr="00E95579" w:rsidRDefault="00EF21C1" w:rsidP="00E95579">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E95579">
              <w:rPr>
                <w:sz w:val="22"/>
              </w:rPr>
              <w:t>2,</w:t>
            </w:r>
            <w:r w:rsidR="00E95579" w:rsidRPr="00E95579">
              <w:rPr>
                <w:sz w:val="22"/>
              </w:rPr>
              <w:t>764</w:t>
            </w:r>
          </w:p>
        </w:tc>
        <w:tc>
          <w:tcPr>
            <w:tcW w:w="698" w:type="pct"/>
            <w:tcBorders>
              <w:top w:val="nil"/>
              <w:left w:val="nil"/>
              <w:bottom w:val="nil"/>
              <w:right w:val="nil"/>
            </w:tcBorders>
            <w:vAlign w:val="bottom"/>
          </w:tcPr>
          <w:p w:rsidR="00EF21C1" w:rsidRPr="003C2A46" w:rsidRDefault="003C2A46" w:rsidP="003C2A46">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C2A46">
              <w:rPr>
                <w:sz w:val="22"/>
              </w:rPr>
              <w:t>3,130</w:t>
            </w:r>
          </w:p>
        </w:tc>
      </w:tr>
      <w:tr w:rsidR="00EF21C1" w:rsidRPr="0053635E" w:rsidTr="00CF7C9C">
        <w:trPr>
          <w:cantSplit/>
          <w:jc w:val="center"/>
        </w:trPr>
        <w:tc>
          <w:tcPr>
            <w:tcW w:w="3563" w:type="pct"/>
            <w:tcBorders>
              <w:top w:val="nil"/>
              <w:left w:val="nil"/>
              <w:bottom w:val="nil"/>
              <w:right w:val="nil"/>
            </w:tcBorders>
          </w:tcPr>
          <w:p w:rsidR="00EF21C1" w:rsidRPr="00EF21C1" w:rsidRDefault="00EF21C1" w:rsidP="00EF21C1">
            <w:pPr>
              <w:suppressAutoHyphens/>
              <w:spacing w:after="20"/>
              <w:ind w:left="200" w:hanging="200"/>
              <w:rPr>
                <w:sz w:val="22"/>
              </w:rPr>
            </w:pPr>
            <w:r w:rsidRPr="00EF21C1">
              <w:rPr>
                <w:sz w:val="22"/>
              </w:rPr>
              <w:t>Fair value adjustment for derivative instruments, net of tax</w:t>
            </w:r>
          </w:p>
        </w:tc>
        <w:tc>
          <w:tcPr>
            <w:tcW w:w="739" w:type="pct"/>
            <w:tcBorders>
              <w:top w:val="nil"/>
              <w:left w:val="nil"/>
              <w:right w:val="nil"/>
            </w:tcBorders>
            <w:vAlign w:val="bottom"/>
          </w:tcPr>
          <w:p w:rsidR="00EF21C1" w:rsidRPr="00E95579" w:rsidRDefault="00EF21C1" w:rsidP="000D5E1C">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E95579">
              <w:rPr>
                <w:sz w:val="22"/>
              </w:rPr>
              <w:t>(12)</w:t>
            </w:r>
          </w:p>
        </w:tc>
        <w:tc>
          <w:tcPr>
            <w:tcW w:w="698" w:type="pct"/>
            <w:tcBorders>
              <w:top w:val="nil"/>
              <w:left w:val="nil"/>
              <w:right w:val="nil"/>
            </w:tcBorders>
            <w:vAlign w:val="bottom"/>
          </w:tcPr>
          <w:p w:rsidR="00EF21C1" w:rsidRPr="003C2A46" w:rsidRDefault="003C2A46" w:rsidP="00E02C13">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3C2A46">
              <w:rPr>
                <w:sz w:val="22"/>
              </w:rPr>
              <w:t>-</w:t>
            </w:r>
          </w:p>
        </w:tc>
      </w:tr>
      <w:tr w:rsidR="00CF7C9C" w:rsidRPr="0053635E" w:rsidTr="00CF7C9C">
        <w:trPr>
          <w:cantSplit/>
          <w:jc w:val="center"/>
        </w:trPr>
        <w:tc>
          <w:tcPr>
            <w:tcW w:w="3563" w:type="pct"/>
            <w:tcBorders>
              <w:top w:val="nil"/>
              <w:left w:val="nil"/>
              <w:bottom w:val="nil"/>
              <w:right w:val="nil"/>
            </w:tcBorders>
          </w:tcPr>
          <w:p w:rsidR="00CF7C9C" w:rsidRPr="00891D4E" w:rsidRDefault="00CF7C9C" w:rsidP="003C2A46">
            <w:pPr>
              <w:suppressAutoHyphens/>
              <w:spacing w:after="20"/>
              <w:ind w:left="200" w:hanging="200"/>
              <w:rPr>
                <w:bCs/>
                <w:sz w:val="22"/>
              </w:rPr>
            </w:pPr>
            <w:r w:rsidRPr="00891D4E">
              <w:rPr>
                <w:bCs/>
                <w:sz w:val="22"/>
              </w:rPr>
              <w:t>Adjusted net income</w:t>
            </w:r>
            <w:r w:rsidRPr="00891D4E">
              <w:rPr>
                <w:bCs/>
                <w:sz w:val="22"/>
              </w:rPr>
              <w:tab/>
            </w:r>
          </w:p>
        </w:tc>
        <w:tc>
          <w:tcPr>
            <w:tcW w:w="739" w:type="pct"/>
            <w:tcBorders>
              <w:top w:val="nil"/>
              <w:left w:val="nil"/>
              <w:right w:val="nil"/>
            </w:tcBorders>
            <w:vAlign w:val="bottom"/>
          </w:tcPr>
          <w:p w:rsidR="00CF7C9C" w:rsidRPr="00CF7C9C" w:rsidRDefault="00CF7C9C" w:rsidP="00CF7C9C">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CF7C9C">
              <w:rPr>
                <w:sz w:val="22"/>
              </w:rPr>
              <w:t xml:space="preserve">$  </w:t>
            </w:r>
            <w:r w:rsidR="00F0406F">
              <w:rPr>
                <w:sz w:val="22"/>
              </w:rPr>
              <w:t xml:space="preserve"> </w:t>
            </w:r>
            <w:r w:rsidRPr="00CF7C9C">
              <w:rPr>
                <w:sz w:val="22"/>
              </w:rPr>
              <w:t xml:space="preserve">     </w:t>
            </w:r>
            <w:r>
              <w:rPr>
                <w:sz w:val="22"/>
              </w:rPr>
              <w:t>9</w:t>
            </w:r>
            <w:r w:rsidRPr="00CF7C9C">
              <w:rPr>
                <w:sz w:val="22"/>
              </w:rPr>
              <w:t>,</w:t>
            </w:r>
            <w:r>
              <w:rPr>
                <w:sz w:val="22"/>
              </w:rPr>
              <w:t>348</w:t>
            </w:r>
          </w:p>
        </w:tc>
        <w:tc>
          <w:tcPr>
            <w:tcW w:w="698" w:type="pct"/>
            <w:tcBorders>
              <w:top w:val="nil"/>
              <w:left w:val="nil"/>
              <w:right w:val="nil"/>
            </w:tcBorders>
            <w:vAlign w:val="bottom"/>
          </w:tcPr>
          <w:p w:rsidR="00CF7C9C" w:rsidRPr="00CF7C9C" w:rsidRDefault="00CF7C9C" w:rsidP="00CF7C9C">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CF7C9C">
              <w:rPr>
                <w:sz w:val="22"/>
              </w:rPr>
              <w:t xml:space="preserve">$    </w:t>
            </w:r>
            <w:r>
              <w:rPr>
                <w:sz w:val="22"/>
              </w:rPr>
              <w:t xml:space="preserve"> </w:t>
            </w:r>
            <w:r w:rsidRPr="00CF7C9C">
              <w:rPr>
                <w:sz w:val="22"/>
              </w:rPr>
              <w:t xml:space="preserve">  </w:t>
            </w:r>
            <w:r>
              <w:rPr>
                <w:sz w:val="22"/>
              </w:rPr>
              <w:t>4,203</w:t>
            </w:r>
          </w:p>
        </w:tc>
      </w:tr>
    </w:tbl>
    <w:p w:rsidR="00CA2341" w:rsidRDefault="00CA2341" w:rsidP="00690897">
      <w:pPr>
        <w:tabs>
          <w:tab w:val="left" w:pos="-720"/>
          <w:tab w:val="left" w:pos="0"/>
        </w:tabs>
        <w:suppressAutoHyphens/>
        <w:spacing w:after="240"/>
        <w:ind w:left="720" w:hanging="720"/>
        <w:jc w:val="both"/>
        <w:rPr>
          <w:b/>
          <w:sz w:val="22"/>
        </w:rPr>
      </w:pPr>
    </w:p>
    <w:p w:rsidR="001836F1" w:rsidRDefault="001836F1" w:rsidP="00690897">
      <w:pPr>
        <w:tabs>
          <w:tab w:val="left" w:pos="-720"/>
          <w:tab w:val="left" w:pos="0"/>
        </w:tabs>
        <w:suppressAutoHyphens/>
        <w:spacing w:after="240"/>
        <w:ind w:left="720" w:hanging="720"/>
        <w:jc w:val="both"/>
        <w:rPr>
          <w:b/>
          <w:sz w:val="22"/>
        </w:rPr>
      </w:pPr>
    </w:p>
    <w:p w:rsidR="001836F1" w:rsidRDefault="001836F1" w:rsidP="00690897">
      <w:pPr>
        <w:tabs>
          <w:tab w:val="left" w:pos="-720"/>
          <w:tab w:val="left" w:pos="0"/>
        </w:tabs>
        <w:suppressAutoHyphens/>
        <w:spacing w:after="240"/>
        <w:ind w:left="720" w:hanging="720"/>
        <w:jc w:val="both"/>
        <w:rPr>
          <w:b/>
          <w:sz w:val="22"/>
        </w:rPr>
      </w:pPr>
    </w:p>
    <w:p w:rsidR="00690897" w:rsidRPr="0084214B" w:rsidRDefault="00690897" w:rsidP="00690897">
      <w:pPr>
        <w:tabs>
          <w:tab w:val="left" w:pos="-720"/>
          <w:tab w:val="left" w:pos="0"/>
        </w:tabs>
        <w:suppressAutoHyphens/>
        <w:spacing w:after="240"/>
        <w:ind w:left="720" w:hanging="720"/>
        <w:jc w:val="both"/>
        <w:rPr>
          <w:b/>
          <w:sz w:val="22"/>
        </w:rPr>
      </w:pPr>
      <w:r w:rsidRPr="0084214B">
        <w:rPr>
          <w:b/>
          <w:sz w:val="22"/>
        </w:rPr>
        <w:lastRenderedPageBreak/>
        <w:t>Adjusted EBITDA</w:t>
      </w:r>
    </w:p>
    <w:p w:rsidR="00690897" w:rsidRPr="0084214B" w:rsidRDefault="008F6594" w:rsidP="00690897">
      <w:pPr>
        <w:tabs>
          <w:tab w:val="left" w:pos="-720"/>
          <w:tab w:val="left" w:pos="0"/>
        </w:tabs>
        <w:suppressAutoHyphens/>
        <w:spacing w:after="240"/>
        <w:jc w:val="both"/>
        <w:rPr>
          <w:sz w:val="22"/>
        </w:rPr>
      </w:pPr>
      <w:r w:rsidRPr="0084214B">
        <w:rPr>
          <w:sz w:val="22"/>
        </w:rPr>
        <w:tab/>
      </w:r>
      <w:r w:rsidR="00690897" w:rsidRPr="0084214B">
        <w:rPr>
          <w:sz w:val="22"/>
        </w:rPr>
        <w:t>Adjusted EBITDA is a measure of both operating performance and liquidity that is not defined by U.S. GAAP and should not be considered a substitute for net income, income from operations or cash flow from operations, as determined in accordance with U.S. GAAP.</w:t>
      </w:r>
    </w:p>
    <w:p w:rsidR="00542EA8" w:rsidRPr="00864BFA" w:rsidRDefault="00690897" w:rsidP="00822B62">
      <w:pPr>
        <w:tabs>
          <w:tab w:val="left" w:pos="-720"/>
        </w:tabs>
        <w:suppressAutoHyphens/>
        <w:spacing w:after="240"/>
        <w:ind w:firstLine="720"/>
        <w:jc w:val="both"/>
        <w:rPr>
          <w:sz w:val="22"/>
        </w:rPr>
      </w:pPr>
      <w:r w:rsidRPr="00864BFA">
        <w:rPr>
          <w:sz w:val="22"/>
        </w:rPr>
        <w:t>We define Adjusted EBITDA as income (loss) before income taxes, interest expense, depreciation and amortization expense, impairment of assets and leasing equipment,</w:t>
      </w:r>
      <w:r w:rsidR="0024732E" w:rsidRPr="00864BFA">
        <w:rPr>
          <w:sz w:val="22"/>
        </w:rPr>
        <w:t xml:space="preserve"> loss on </w:t>
      </w:r>
      <w:r w:rsidR="00864BFA" w:rsidRPr="00864BFA">
        <w:rPr>
          <w:sz w:val="22"/>
        </w:rPr>
        <w:t>modification and extinguishment</w:t>
      </w:r>
      <w:r w:rsidR="0024732E" w:rsidRPr="00864BFA">
        <w:rPr>
          <w:sz w:val="22"/>
        </w:rPr>
        <w:t xml:space="preserve"> of debt</w:t>
      </w:r>
      <w:r w:rsidR="00864BFA" w:rsidRPr="00864BFA">
        <w:rPr>
          <w:sz w:val="22"/>
        </w:rPr>
        <w:t xml:space="preserve"> and capital lease obligations</w:t>
      </w:r>
      <w:r w:rsidR="0024732E" w:rsidRPr="00864BFA">
        <w:rPr>
          <w:sz w:val="22"/>
        </w:rPr>
        <w:t>,</w:t>
      </w:r>
      <w:r w:rsidRPr="00864BFA">
        <w:rPr>
          <w:sz w:val="22"/>
        </w:rPr>
        <w:t xml:space="preserve"> other expense (income),</w:t>
      </w:r>
      <w:r w:rsidR="0024732E" w:rsidRPr="00864BFA">
        <w:rPr>
          <w:sz w:val="22"/>
        </w:rPr>
        <w:t xml:space="preserve"> interest income,</w:t>
      </w:r>
      <w:r w:rsidRPr="00864BFA">
        <w:rPr>
          <w:sz w:val="22"/>
        </w:rPr>
        <w:t xml:space="preserve"> remanufacturing expenses, non-cash </w:t>
      </w:r>
      <w:r w:rsidR="00431D93">
        <w:rPr>
          <w:sz w:val="22"/>
        </w:rPr>
        <w:t>share-based</w:t>
      </w:r>
      <w:r w:rsidRPr="00864BFA">
        <w:rPr>
          <w:sz w:val="22"/>
        </w:rPr>
        <w:t xml:space="preserve"> compensation and principal collections on direct finance leases.</w:t>
      </w:r>
    </w:p>
    <w:p w:rsidR="00B330B2" w:rsidRPr="000C7DCC" w:rsidRDefault="00690897" w:rsidP="00CA2341">
      <w:pPr>
        <w:tabs>
          <w:tab w:val="left" w:pos="-720"/>
        </w:tabs>
        <w:suppressAutoHyphens/>
        <w:spacing w:after="240"/>
        <w:ind w:firstLine="720"/>
        <w:jc w:val="both"/>
        <w:rPr>
          <w:sz w:val="22"/>
        </w:rPr>
      </w:pPr>
      <w:r w:rsidRPr="00864BFA">
        <w:rPr>
          <w:sz w:val="22"/>
        </w:rPr>
        <w:t>Set forth below is additional detail as to how we use Adjusted EBITDA as a measure of both operating performance and liquidity, as well as reconciliation</w:t>
      </w:r>
      <w:r w:rsidR="003D5AFB">
        <w:rPr>
          <w:sz w:val="22"/>
        </w:rPr>
        <w:t>s</w:t>
      </w:r>
      <w:r w:rsidRPr="00864BFA">
        <w:rPr>
          <w:sz w:val="22"/>
        </w:rPr>
        <w:t xml:space="preserve"> of Adjusted EBITDA to our U.S. GAAP net (loss) income and cash flow from operating activities.</w:t>
      </w:r>
    </w:p>
    <w:p w:rsidR="00542EA8" w:rsidRPr="000C7DCC" w:rsidRDefault="00690897" w:rsidP="00542EA8">
      <w:pPr>
        <w:tabs>
          <w:tab w:val="left" w:pos="-720"/>
        </w:tabs>
        <w:suppressAutoHyphens/>
        <w:spacing w:after="240"/>
        <w:ind w:firstLine="720"/>
        <w:jc w:val="both"/>
        <w:rPr>
          <w:sz w:val="22"/>
        </w:rPr>
      </w:pPr>
      <w:r w:rsidRPr="000C7DCC">
        <w:rPr>
          <w:i/>
          <w:iCs/>
          <w:sz w:val="22"/>
        </w:rPr>
        <w:t>Operating performance:</w:t>
      </w:r>
      <w:r w:rsidRPr="000C7DCC">
        <w:rPr>
          <w:sz w:val="22"/>
        </w:rPr>
        <w:t xml:space="preserve">  Management and our board of directors use Adjusted EBITDA in a number of ways to assess our consolidated financial and operating performance, and we believe this measure is helpful to management, the board of directors and investors in identifying trends in our performance. We use Adjusted EBITDA as a measure of our consolidated operating performance exclusive of income and expenses that relate to financing, income taxes, and capitalization of the business. Also, Adjusted EBITDA assists us in comparing our operating performance on a consistent basis as it removes the impact of our capital structure (primarily interest charges on our outstanding debt) and asset base (primarily depreciation and amortization) from our operating results. In addition, Adjusted EBITDA helps management identify controllable expenses and make decisions designed to help us meet our current financial goals and optimize our financial performance. Accordingly, we believe this metric measures our financial performance based on operational factors that management can impact in the short-term, namely the cost structure and expenses of the organization. Lastly, Adjusted EBITDA as defined herein is the basis for calculating selected financial ratios as required in the debt covenants of our ABL Facility.</w:t>
      </w:r>
    </w:p>
    <w:p w:rsidR="00690897" w:rsidRDefault="00690897" w:rsidP="00690897">
      <w:pPr>
        <w:tabs>
          <w:tab w:val="left" w:pos="-720"/>
        </w:tabs>
        <w:suppressAutoHyphens/>
        <w:spacing w:after="240"/>
        <w:jc w:val="both"/>
        <w:rPr>
          <w:sz w:val="22"/>
        </w:rPr>
      </w:pPr>
      <w:r w:rsidRPr="000C7DCC">
        <w:rPr>
          <w:i/>
          <w:iCs/>
          <w:sz w:val="22"/>
        </w:rPr>
        <w:tab/>
        <w:t>Liquidity:</w:t>
      </w:r>
      <w:r w:rsidRPr="000C7DCC">
        <w:rPr>
          <w:sz w:val="22"/>
        </w:rPr>
        <w:t xml:space="preserve">  In addition to the uses described above, management and our board of directors use Adjusted EBITDA as an indicator of the amount of cash flow we have available to service our debt obligations, and we believe this measure can serve the same purpose for our investors. We add back certain remanufacturing expenses because these costs would have been capitalized if we built new chassis versus remanufacturing. We also include principal collections on direct finance lease receivables in Adjusted EBITDA because these collections represent cash that we have available to service our debt obligations that is not otherwise included in net (loss) income. As a result, by adding back remanufacturing related expenses and non-cash </w:t>
      </w:r>
      <w:r w:rsidR="00431D93">
        <w:rPr>
          <w:sz w:val="22"/>
        </w:rPr>
        <w:t>share-based</w:t>
      </w:r>
      <w:r w:rsidRPr="000C7DCC">
        <w:rPr>
          <w:sz w:val="22"/>
        </w:rPr>
        <w:t xml:space="preserve"> compensation expenses and by including principal collections on direct finance lease receivables in Adjusted EBITDA, we believe Adjusted EBITDA is a more accurate indicator of our available cash flow to service our debt obligations than net (loss) income.</w:t>
      </w:r>
    </w:p>
    <w:p w:rsidR="001836F1" w:rsidRDefault="001836F1" w:rsidP="00690897">
      <w:pPr>
        <w:tabs>
          <w:tab w:val="left" w:pos="-720"/>
        </w:tabs>
        <w:suppressAutoHyphens/>
        <w:spacing w:after="240"/>
        <w:jc w:val="both"/>
        <w:rPr>
          <w:sz w:val="22"/>
        </w:rPr>
      </w:pPr>
    </w:p>
    <w:p w:rsidR="001836F1" w:rsidRDefault="001836F1" w:rsidP="00690897">
      <w:pPr>
        <w:tabs>
          <w:tab w:val="left" w:pos="-720"/>
        </w:tabs>
        <w:suppressAutoHyphens/>
        <w:spacing w:after="240"/>
        <w:jc w:val="both"/>
        <w:rPr>
          <w:sz w:val="22"/>
        </w:rPr>
      </w:pPr>
    </w:p>
    <w:p w:rsidR="001836F1" w:rsidRDefault="001836F1" w:rsidP="00690897">
      <w:pPr>
        <w:tabs>
          <w:tab w:val="left" w:pos="-720"/>
        </w:tabs>
        <w:suppressAutoHyphens/>
        <w:spacing w:after="240"/>
        <w:jc w:val="both"/>
        <w:rPr>
          <w:sz w:val="22"/>
        </w:rPr>
      </w:pPr>
    </w:p>
    <w:p w:rsidR="001836F1" w:rsidRPr="000C7DCC" w:rsidRDefault="001836F1" w:rsidP="00690897">
      <w:pPr>
        <w:tabs>
          <w:tab w:val="left" w:pos="-720"/>
        </w:tabs>
        <w:suppressAutoHyphens/>
        <w:spacing w:after="240"/>
        <w:jc w:val="both"/>
        <w:rPr>
          <w:sz w:val="22"/>
        </w:rPr>
      </w:pPr>
    </w:p>
    <w:p w:rsidR="00690897" w:rsidRPr="008C48DF" w:rsidRDefault="00690897" w:rsidP="00690897">
      <w:pPr>
        <w:tabs>
          <w:tab w:val="left" w:pos="-720"/>
        </w:tabs>
        <w:suppressAutoHyphens/>
        <w:spacing w:after="240"/>
        <w:ind w:firstLine="720"/>
        <w:jc w:val="both"/>
        <w:rPr>
          <w:sz w:val="22"/>
        </w:rPr>
      </w:pPr>
      <w:r w:rsidRPr="008C48DF">
        <w:rPr>
          <w:sz w:val="22"/>
        </w:rPr>
        <w:lastRenderedPageBreak/>
        <w:t xml:space="preserve">The following table shows the reconciliation of net </w:t>
      </w:r>
      <w:r w:rsidR="009A588D">
        <w:rPr>
          <w:sz w:val="22"/>
        </w:rPr>
        <w:t>income (</w:t>
      </w:r>
      <w:r w:rsidRPr="008C48DF">
        <w:rPr>
          <w:sz w:val="22"/>
        </w:rPr>
        <w:t>loss</w:t>
      </w:r>
      <w:r w:rsidR="009A588D">
        <w:rPr>
          <w:sz w:val="22"/>
        </w:rPr>
        <w:t>)</w:t>
      </w:r>
      <w:r w:rsidRPr="008C48DF">
        <w:rPr>
          <w:sz w:val="22"/>
        </w:rPr>
        <w:t>, the most directly comparable U.S. GAAP measure, to Adjusted EBITDA:</w:t>
      </w:r>
    </w:p>
    <w:tbl>
      <w:tblPr>
        <w:tblW w:w="4059" w:type="pct"/>
        <w:jc w:val="center"/>
        <w:tblCellMar>
          <w:left w:w="72" w:type="dxa"/>
          <w:right w:w="72" w:type="dxa"/>
        </w:tblCellMar>
        <w:tblLook w:val="0000" w:firstRow="0" w:lastRow="0" w:firstColumn="0" w:lastColumn="0" w:noHBand="0" w:noVBand="0"/>
      </w:tblPr>
      <w:tblGrid>
        <w:gridCol w:w="5520"/>
        <w:gridCol w:w="1394"/>
        <w:gridCol w:w="1386"/>
      </w:tblGrid>
      <w:tr w:rsidR="008C48DF" w:rsidRPr="0053635E" w:rsidTr="00BD40D7">
        <w:trPr>
          <w:cantSplit/>
          <w:jc w:val="center"/>
        </w:trPr>
        <w:tc>
          <w:tcPr>
            <w:tcW w:w="3325" w:type="pct"/>
            <w:tcBorders>
              <w:top w:val="nil"/>
              <w:left w:val="nil"/>
              <w:bottom w:val="nil"/>
              <w:right w:val="nil"/>
            </w:tcBorders>
          </w:tcPr>
          <w:p w:rsidR="008C48DF" w:rsidRPr="0053635E" w:rsidRDefault="008C48DF" w:rsidP="00690897">
            <w:pPr>
              <w:tabs>
                <w:tab w:val="right" w:leader="dot" w:pos="6600"/>
              </w:tabs>
              <w:suppressAutoHyphens/>
              <w:ind w:left="400" w:hanging="200"/>
              <w:rPr>
                <w:sz w:val="22"/>
                <w:highlight w:val="yellow"/>
              </w:rPr>
            </w:pPr>
          </w:p>
        </w:tc>
        <w:tc>
          <w:tcPr>
            <w:tcW w:w="840" w:type="pct"/>
            <w:tcBorders>
              <w:top w:val="nil"/>
              <w:left w:val="nil"/>
              <w:bottom w:val="nil"/>
              <w:right w:val="nil"/>
            </w:tcBorders>
          </w:tcPr>
          <w:p w:rsidR="008C48DF" w:rsidRPr="0053635E" w:rsidRDefault="008C48DF"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835" w:type="pct"/>
            <w:tcBorders>
              <w:top w:val="nil"/>
              <w:left w:val="nil"/>
              <w:bottom w:val="nil"/>
              <w:right w:val="nil"/>
            </w:tcBorders>
          </w:tcPr>
          <w:p w:rsidR="008C48DF" w:rsidRPr="0053635E" w:rsidRDefault="008C48DF"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8C48DF" w:rsidRPr="008C48DF" w:rsidTr="008C48DF">
        <w:trPr>
          <w:cantSplit/>
          <w:jc w:val="center"/>
        </w:trPr>
        <w:tc>
          <w:tcPr>
            <w:tcW w:w="3325" w:type="pct"/>
            <w:tcBorders>
              <w:top w:val="nil"/>
              <w:left w:val="nil"/>
              <w:bottom w:val="nil"/>
              <w:right w:val="nil"/>
            </w:tcBorders>
          </w:tcPr>
          <w:p w:rsidR="008C48DF" w:rsidRPr="008C48DF" w:rsidRDefault="008C48DF" w:rsidP="00690897">
            <w:pPr>
              <w:tabs>
                <w:tab w:val="right" w:leader="dot" w:pos="6600"/>
              </w:tabs>
              <w:suppressAutoHyphens/>
              <w:ind w:left="400" w:hanging="200"/>
              <w:rPr>
                <w:sz w:val="22"/>
              </w:rPr>
            </w:pPr>
          </w:p>
        </w:tc>
        <w:tc>
          <w:tcPr>
            <w:tcW w:w="1675" w:type="pct"/>
            <w:gridSpan w:val="2"/>
            <w:tcBorders>
              <w:top w:val="nil"/>
              <w:left w:val="nil"/>
              <w:bottom w:val="nil"/>
              <w:right w:val="nil"/>
            </w:tcBorders>
            <w:vAlign w:val="bottom"/>
          </w:tcPr>
          <w:p w:rsidR="008C48DF" w:rsidRPr="008C48DF" w:rsidRDefault="008C48DF" w:rsidP="008C48DF">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8C48DF">
              <w:rPr>
                <w:b/>
                <w:bCs/>
                <w:sz w:val="22"/>
              </w:rPr>
              <w:t>Three Months Ended March 31,</w:t>
            </w:r>
          </w:p>
        </w:tc>
      </w:tr>
      <w:tr w:rsidR="008C48DF" w:rsidRPr="008C48DF" w:rsidTr="00BD40D7">
        <w:trPr>
          <w:cantSplit/>
          <w:trHeight w:val="135"/>
          <w:jc w:val="center"/>
        </w:trPr>
        <w:tc>
          <w:tcPr>
            <w:tcW w:w="3325" w:type="pct"/>
            <w:tcBorders>
              <w:top w:val="nil"/>
              <w:left w:val="nil"/>
              <w:bottom w:val="nil"/>
              <w:right w:val="nil"/>
            </w:tcBorders>
          </w:tcPr>
          <w:p w:rsidR="008C48DF" w:rsidRPr="008C48DF" w:rsidRDefault="00BD40D7" w:rsidP="00690897">
            <w:pPr>
              <w:tabs>
                <w:tab w:val="right" w:leader="dot" w:pos="6600"/>
              </w:tabs>
              <w:suppressAutoHyphens/>
              <w:ind w:left="400" w:hanging="200"/>
              <w:rPr>
                <w:sz w:val="22"/>
              </w:rPr>
            </w:pPr>
            <w:r w:rsidRPr="008C48DF">
              <w:rPr>
                <w:b/>
                <w:bCs/>
                <w:sz w:val="22"/>
              </w:rPr>
              <w:t>(dollars in thousands)</w:t>
            </w:r>
          </w:p>
        </w:tc>
        <w:tc>
          <w:tcPr>
            <w:tcW w:w="840" w:type="pct"/>
            <w:tcBorders>
              <w:top w:val="nil"/>
              <w:left w:val="nil"/>
              <w:bottom w:val="nil"/>
              <w:right w:val="nil"/>
            </w:tcBorders>
            <w:vAlign w:val="bottom"/>
          </w:tcPr>
          <w:p w:rsidR="008C48DF" w:rsidRPr="008C48DF" w:rsidRDefault="008C48DF" w:rsidP="008C48DF">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8C48DF">
              <w:rPr>
                <w:b/>
                <w:bCs/>
                <w:sz w:val="22"/>
              </w:rPr>
              <w:t>2014</w:t>
            </w:r>
          </w:p>
        </w:tc>
        <w:tc>
          <w:tcPr>
            <w:tcW w:w="835" w:type="pct"/>
            <w:tcBorders>
              <w:top w:val="nil"/>
              <w:left w:val="nil"/>
              <w:bottom w:val="nil"/>
              <w:right w:val="nil"/>
            </w:tcBorders>
            <w:vAlign w:val="bottom"/>
          </w:tcPr>
          <w:p w:rsidR="008C48DF" w:rsidRPr="008C48DF" w:rsidRDefault="008C48DF" w:rsidP="008C48DF">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8C48DF">
              <w:rPr>
                <w:b/>
                <w:bCs/>
                <w:sz w:val="22"/>
              </w:rPr>
              <w:t>2013</w:t>
            </w:r>
          </w:p>
        </w:tc>
      </w:tr>
      <w:tr w:rsidR="008C48DF" w:rsidRPr="0053635E" w:rsidTr="00BD40D7">
        <w:trPr>
          <w:cantSplit/>
          <w:jc w:val="center"/>
        </w:trPr>
        <w:tc>
          <w:tcPr>
            <w:tcW w:w="3325" w:type="pct"/>
            <w:tcBorders>
              <w:top w:val="nil"/>
              <w:left w:val="nil"/>
              <w:bottom w:val="nil"/>
              <w:right w:val="nil"/>
            </w:tcBorders>
          </w:tcPr>
          <w:p w:rsidR="008C48DF" w:rsidRPr="008C48DF" w:rsidRDefault="008C48DF" w:rsidP="009F303D">
            <w:pPr>
              <w:suppressAutoHyphens/>
              <w:ind w:left="400" w:hanging="200"/>
              <w:rPr>
                <w:sz w:val="22"/>
              </w:rPr>
            </w:pPr>
            <w:r w:rsidRPr="008C48DF">
              <w:rPr>
                <w:sz w:val="22"/>
              </w:rPr>
              <w:t xml:space="preserve">Net </w:t>
            </w:r>
            <w:r w:rsidR="00D661B0">
              <w:rPr>
                <w:sz w:val="22"/>
              </w:rPr>
              <w:t>income (</w:t>
            </w:r>
            <w:r w:rsidRPr="008C48DF">
              <w:rPr>
                <w:sz w:val="22"/>
              </w:rPr>
              <w:t>loss</w:t>
            </w:r>
            <w:r w:rsidR="00D661B0">
              <w:rPr>
                <w:sz w:val="22"/>
              </w:rPr>
              <w:t>)</w:t>
            </w:r>
            <w:r w:rsidRPr="008C48DF">
              <w:rPr>
                <w:sz w:val="22"/>
              </w:rPr>
              <w:tab/>
            </w:r>
          </w:p>
        </w:tc>
        <w:tc>
          <w:tcPr>
            <w:tcW w:w="840" w:type="pct"/>
            <w:tcBorders>
              <w:top w:val="nil"/>
              <w:left w:val="nil"/>
              <w:bottom w:val="nil"/>
              <w:right w:val="nil"/>
            </w:tcBorders>
            <w:vAlign w:val="bottom"/>
          </w:tcPr>
          <w:p w:rsidR="008C48DF" w:rsidRPr="00D661B0" w:rsidRDefault="008C48DF" w:rsidP="00D661B0">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D661B0">
              <w:rPr>
                <w:sz w:val="22"/>
              </w:rPr>
              <w:t xml:space="preserve">$        </w:t>
            </w:r>
            <w:r w:rsidR="00D661B0" w:rsidRPr="00D661B0">
              <w:rPr>
                <w:sz w:val="22"/>
              </w:rPr>
              <w:t xml:space="preserve">   5</w:t>
            </w:r>
            <w:r w:rsidRPr="00D661B0">
              <w:rPr>
                <w:sz w:val="22"/>
              </w:rPr>
              <w:t>,</w:t>
            </w:r>
            <w:r w:rsidR="00D661B0" w:rsidRPr="00D661B0">
              <w:rPr>
                <w:sz w:val="22"/>
              </w:rPr>
              <w:t>474</w:t>
            </w:r>
          </w:p>
        </w:tc>
        <w:tc>
          <w:tcPr>
            <w:tcW w:w="835" w:type="pct"/>
            <w:tcBorders>
              <w:top w:val="nil"/>
              <w:left w:val="nil"/>
              <w:bottom w:val="nil"/>
              <w:right w:val="nil"/>
            </w:tcBorders>
            <w:vAlign w:val="bottom"/>
          </w:tcPr>
          <w:p w:rsidR="008C48DF" w:rsidRPr="008C48DF" w:rsidRDefault="008C48DF" w:rsidP="008C48D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C48DF">
              <w:rPr>
                <w:sz w:val="22"/>
              </w:rPr>
              <w:t>$           (435)</w:t>
            </w:r>
          </w:p>
        </w:tc>
      </w:tr>
      <w:tr w:rsidR="008C48DF" w:rsidRPr="0053635E" w:rsidTr="00BD40D7">
        <w:trPr>
          <w:cantSplit/>
          <w:jc w:val="center"/>
        </w:trPr>
        <w:tc>
          <w:tcPr>
            <w:tcW w:w="3325" w:type="pct"/>
            <w:tcBorders>
              <w:top w:val="nil"/>
              <w:left w:val="nil"/>
              <w:bottom w:val="nil"/>
              <w:right w:val="nil"/>
            </w:tcBorders>
          </w:tcPr>
          <w:p w:rsidR="008C48DF" w:rsidRPr="008C48DF" w:rsidRDefault="008C48DF" w:rsidP="00D661B0">
            <w:pPr>
              <w:suppressAutoHyphens/>
              <w:ind w:left="400" w:hanging="200"/>
              <w:rPr>
                <w:sz w:val="22"/>
              </w:rPr>
            </w:pPr>
            <w:r w:rsidRPr="008C48DF">
              <w:rPr>
                <w:sz w:val="22"/>
              </w:rPr>
              <w:t>Income tax</w:t>
            </w:r>
            <w:r w:rsidR="00D661B0">
              <w:rPr>
                <w:sz w:val="22"/>
              </w:rPr>
              <w:t xml:space="preserve"> provision (</w:t>
            </w:r>
            <w:r w:rsidRPr="008C48DF">
              <w:rPr>
                <w:sz w:val="22"/>
              </w:rPr>
              <w:t>benefit</w:t>
            </w:r>
            <w:r w:rsidR="00D661B0">
              <w:rPr>
                <w:sz w:val="22"/>
              </w:rPr>
              <w:t>)</w:t>
            </w:r>
            <w:r w:rsidRPr="008C48DF">
              <w:rPr>
                <w:sz w:val="22"/>
              </w:rPr>
              <w:tab/>
            </w:r>
          </w:p>
        </w:tc>
        <w:tc>
          <w:tcPr>
            <w:tcW w:w="840" w:type="pct"/>
            <w:tcBorders>
              <w:top w:val="nil"/>
              <w:left w:val="nil"/>
              <w:bottom w:val="nil"/>
              <w:right w:val="nil"/>
            </w:tcBorders>
            <w:vAlign w:val="bottom"/>
          </w:tcPr>
          <w:p w:rsidR="008C48DF" w:rsidRPr="00D661B0" w:rsidRDefault="00D661B0" w:rsidP="00D661B0">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D661B0">
              <w:rPr>
                <w:sz w:val="22"/>
              </w:rPr>
              <w:t>3</w:t>
            </w:r>
            <w:r w:rsidR="008C48DF" w:rsidRPr="00D661B0">
              <w:rPr>
                <w:sz w:val="22"/>
              </w:rPr>
              <w:t>,</w:t>
            </w:r>
            <w:r w:rsidRPr="00D661B0">
              <w:rPr>
                <w:sz w:val="22"/>
              </w:rPr>
              <w:t>856</w:t>
            </w:r>
          </w:p>
        </w:tc>
        <w:tc>
          <w:tcPr>
            <w:tcW w:w="835" w:type="pct"/>
            <w:tcBorders>
              <w:top w:val="nil"/>
              <w:left w:val="nil"/>
              <w:bottom w:val="nil"/>
              <w:right w:val="nil"/>
            </w:tcBorders>
            <w:vAlign w:val="bottom"/>
          </w:tcPr>
          <w:p w:rsidR="008C48DF" w:rsidRPr="008C48DF" w:rsidRDefault="008C48DF" w:rsidP="008C48D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C48DF">
              <w:rPr>
                <w:sz w:val="22"/>
              </w:rPr>
              <w:t>(315)</w:t>
            </w:r>
          </w:p>
        </w:tc>
      </w:tr>
      <w:tr w:rsidR="008C48DF" w:rsidRPr="0053635E" w:rsidTr="00BD40D7">
        <w:trPr>
          <w:cantSplit/>
          <w:jc w:val="center"/>
        </w:trPr>
        <w:tc>
          <w:tcPr>
            <w:tcW w:w="3325" w:type="pct"/>
            <w:tcBorders>
              <w:top w:val="nil"/>
              <w:left w:val="nil"/>
              <w:bottom w:val="nil"/>
              <w:right w:val="nil"/>
            </w:tcBorders>
          </w:tcPr>
          <w:p w:rsidR="008C48DF" w:rsidRPr="008C48DF" w:rsidRDefault="008C48DF" w:rsidP="00690897">
            <w:pPr>
              <w:suppressAutoHyphens/>
              <w:ind w:left="400" w:hanging="200"/>
              <w:rPr>
                <w:sz w:val="22"/>
              </w:rPr>
            </w:pPr>
            <w:r w:rsidRPr="008C48DF">
              <w:rPr>
                <w:sz w:val="22"/>
              </w:rPr>
              <w:t>Interest expense</w:t>
            </w:r>
            <w:r w:rsidRPr="008C48DF">
              <w:rPr>
                <w:sz w:val="22"/>
              </w:rPr>
              <w:tab/>
            </w:r>
          </w:p>
        </w:tc>
        <w:tc>
          <w:tcPr>
            <w:tcW w:w="840" w:type="pct"/>
            <w:tcBorders>
              <w:top w:val="nil"/>
              <w:left w:val="nil"/>
              <w:bottom w:val="nil"/>
              <w:right w:val="nil"/>
            </w:tcBorders>
            <w:vAlign w:val="bottom"/>
          </w:tcPr>
          <w:p w:rsidR="008C48DF" w:rsidRPr="00D661B0" w:rsidRDefault="008C48DF" w:rsidP="00D661B0">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D661B0">
              <w:rPr>
                <w:sz w:val="22"/>
              </w:rPr>
              <w:t>22,</w:t>
            </w:r>
            <w:r w:rsidR="00D661B0" w:rsidRPr="00D661B0">
              <w:rPr>
                <w:sz w:val="22"/>
              </w:rPr>
              <w:t>216</w:t>
            </w:r>
          </w:p>
        </w:tc>
        <w:tc>
          <w:tcPr>
            <w:tcW w:w="835" w:type="pct"/>
            <w:tcBorders>
              <w:top w:val="nil"/>
              <w:left w:val="nil"/>
              <w:bottom w:val="nil"/>
              <w:right w:val="nil"/>
            </w:tcBorders>
            <w:vAlign w:val="bottom"/>
          </w:tcPr>
          <w:p w:rsidR="008C48DF" w:rsidRPr="008C48DF" w:rsidRDefault="008C48DF" w:rsidP="008C48D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C48DF">
              <w:rPr>
                <w:sz w:val="22"/>
              </w:rPr>
              <w:t>22,722</w:t>
            </w:r>
          </w:p>
        </w:tc>
      </w:tr>
      <w:tr w:rsidR="008C48DF" w:rsidRPr="0053635E" w:rsidTr="00BD40D7">
        <w:trPr>
          <w:cantSplit/>
          <w:jc w:val="center"/>
        </w:trPr>
        <w:tc>
          <w:tcPr>
            <w:tcW w:w="3325" w:type="pct"/>
            <w:tcBorders>
              <w:top w:val="nil"/>
              <w:left w:val="nil"/>
              <w:bottom w:val="nil"/>
              <w:right w:val="nil"/>
            </w:tcBorders>
          </w:tcPr>
          <w:p w:rsidR="008C48DF" w:rsidRPr="008C48DF" w:rsidRDefault="008C48DF" w:rsidP="00690897">
            <w:pPr>
              <w:suppressAutoHyphens/>
              <w:ind w:left="400" w:hanging="200"/>
              <w:rPr>
                <w:sz w:val="22"/>
              </w:rPr>
            </w:pPr>
            <w:r w:rsidRPr="008C48DF">
              <w:rPr>
                <w:sz w:val="22"/>
              </w:rPr>
              <w:t>Depreciation expense</w:t>
            </w:r>
            <w:r w:rsidRPr="008C48DF">
              <w:rPr>
                <w:sz w:val="22"/>
              </w:rPr>
              <w:tab/>
            </w:r>
          </w:p>
        </w:tc>
        <w:tc>
          <w:tcPr>
            <w:tcW w:w="840" w:type="pct"/>
            <w:tcBorders>
              <w:top w:val="nil"/>
              <w:left w:val="nil"/>
              <w:bottom w:val="nil"/>
              <w:right w:val="nil"/>
            </w:tcBorders>
            <w:vAlign w:val="bottom"/>
          </w:tcPr>
          <w:p w:rsidR="008C48DF" w:rsidRPr="00D661B0" w:rsidRDefault="008C48DF" w:rsidP="00D661B0">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D661B0">
              <w:rPr>
                <w:sz w:val="22"/>
              </w:rPr>
              <w:t>18,</w:t>
            </w:r>
            <w:r w:rsidR="00D661B0" w:rsidRPr="00D661B0">
              <w:rPr>
                <w:sz w:val="22"/>
              </w:rPr>
              <w:t>504</w:t>
            </w:r>
          </w:p>
        </w:tc>
        <w:tc>
          <w:tcPr>
            <w:tcW w:w="835" w:type="pct"/>
            <w:tcBorders>
              <w:top w:val="nil"/>
              <w:left w:val="nil"/>
              <w:bottom w:val="nil"/>
              <w:right w:val="nil"/>
            </w:tcBorders>
            <w:vAlign w:val="bottom"/>
          </w:tcPr>
          <w:p w:rsidR="008C48DF" w:rsidRPr="008C48DF" w:rsidRDefault="008C48DF" w:rsidP="008C48D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C48DF">
              <w:rPr>
                <w:sz w:val="22"/>
              </w:rPr>
              <w:t>17,274</w:t>
            </w:r>
          </w:p>
        </w:tc>
      </w:tr>
      <w:tr w:rsidR="008C48DF" w:rsidRPr="0053635E" w:rsidTr="00BD40D7">
        <w:trPr>
          <w:cantSplit/>
          <w:jc w:val="center"/>
        </w:trPr>
        <w:tc>
          <w:tcPr>
            <w:tcW w:w="3325" w:type="pct"/>
            <w:tcBorders>
              <w:top w:val="nil"/>
              <w:left w:val="nil"/>
              <w:bottom w:val="nil"/>
              <w:right w:val="nil"/>
            </w:tcBorders>
          </w:tcPr>
          <w:p w:rsidR="008C48DF" w:rsidRPr="008C48DF" w:rsidRDefault="008C48DF" w:rsidP="008F6594">
            <w:pPr>
              <w:suppressAutoHyphens/>
              <w:ind w:left="400" w:hanging="200"/>
              <w:rPr>
                <w:sz w:val="22"/>
              </w:rPr>
            </w:pPr>
            <w:r w:rsidRPr="008C48DF">
              <w:rPr>
                <w:sz w:val="22"/>
              </w:rPr>
              <w:t>Impairment of leasing equipment</w:t>
            </w:r>
            <w:r w:rsidRPr="008C48DF">
              <w:rPr>
                <w:sz w:val="22"/>
              </w:rPr>
              <w:tab/>
            </w:r>
          </w:p>
        </w:tc>
        <w:tc>
          <w:tcPr>
            <w:tcW w:w="840" w:type="pct"/>
            <w:tcBorders>
              <w:top w:val="nil"/>
              <w:left w:val="nil"/>
              <w:bottom w:val="nil"/>
              <w:right w:val="nil"/>
            </w:tcBorders>
            <w:vAlign w:val="bottom"/>
          </w:tcPr>
          <w:p w:rsidR="008C48DF" w:rsidRPr="00D661B0" w:rsidRDefault="008C48DF" w:rsidP="00D661B0">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D661B0">
              <w:rPr>
                <w:sz w:val="22"/>
              </w:rPr>
              <w:t>1,</w:t>
            </w:r>
            <w:r w:rsidR="00D661B0" w:rsidRPr="00D661B0">
              <w:rPr>
                <w:sz w:val="22"/>
              </w:rPr>
              <w:t>126</w:t>
            </w:r>
          </w:p>
        </w:tc>
        <w:tc>
          <w:tcPr>
            <w:tcW w:w="835" w:type="pct"/>
            <w:tcBorders>
              <w:top w:val="nil"/>
              <w:left w:val="nil"/>
              <w:bottom w:val="nil"/>
              <w:right w:val="nil"/>
            </w:tcBorders>
            <w:vAlign w:val="bottom"/>
          </w:tcPr>
          <w:p w:rsidR="008C48DF" w:rsidRPr="008C48DF" w:rsidRDefault="008C48DF" w:rsidP="008C48D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C48DF">
              <w:rPr>
                <w:sz w:val="22"/>
              </w:rPr>
              <w:t>2,133</w:t>
            </w:r>
          </w:p>
        </w:tc>
      </w:tr>
      <w:tr w:rsidR="008C48DF" w:rsidRPr="0053635E" w:rsidTr="00BD40D7">
        <w:trPr>
          <w:cantSplit/>
          <w:jc w:val="center"/>
        </w:trPr>
        <w:tc>
          <w:tcPr>
            <w:tcW w:w="3325" w:type="pct"/>
            <w:tcBorders>
              <w:top w:val="nil"/>
              <w:left w:val="nil"/>
              <w:bottom w:val="nil"/>
              <w:right w:val="nil"/>
            </w:tcBorders>
          </w:tcPr>
          <w:p w:rsidR="008C48DF" w:rsidRPr="008C48DF" w:rsidRDefault="008C48DF" w:rsidP="009D1529">
            <w:pPr>
              <w:suppressAutoHyphens/>
              <w:ind w:left="400" w:hanging="200"/>
              <w:rPr>
                <w:sz w:val="22"/>
              </w:rPr>
            </w:pPr>
            <w:r w:rsidRPr="008C48DF">
              <w:rPr>
                <w:sz w:val="22"/>
              </w:rPr>
              <w:t xml:space="preserve">Loss on </w:t>
            </w:r>
            <w:r w:rsidR="005C0D5B">
              <w:rPr>
                <w:sz w:val="22"/>
              </w:rPr>
              <w:t>modification and extinguishment of debt and capital lease obligations</w:t>
            </w:r>
            <w:r w:rsidRPr="008C48DF">
              <w:rPr>
                <w:sz w:val="22"/>
              </w:rPr>
              <w:tab/>
            </w:r>
          </w:p>
        </w:tc>
        <w:tc>
          <w:tcPr>
            <w:tcW w:w="840" w:type="pct"/>
            <w:tcBorders>
              <w:top w:val="nil"/>
              <w:left w:val="nil"/>
              <w:bottom w:val="nil"/>
              <w:right w:val="nil"/>
            </w:tcBorders>
            <w:vAlign w:val="bottom"/>
          </w:tcPr>
          <w:p w:rsidR="008C48DF" w:rsidRPr="00D661B0" w:rsidRDefault="00D661B0" w:rsidP="00D661B0">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D661B0">
              <w:rPr>
                <w:sz w:val="22"/>
              </w:rPr>
              <w:t>22</w:t>
            </w:r>
          </w:p>
        </w:tc>
        <w:tc>
          <w:tcPr>
            <w:tcW w:w="835" w:type="pct"/>
            <w:tcBorders>
              <w:top w:val="nil"/>
              <w:left w:val="nil"/>
              <w:bottom w:val="nil"/>
              <w:right w:val="nil"/>
            </w:tcBorders>
            <w:vAlign w:val="bottom"/>
          </w:tcPr>
          <w:p w:rsidR="008C48DF" w:rsidRPr="008C48DF" w:rsidRDefault="008C48DF" w:rsidP="008C48D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C48DF">
              <w:rPr>
                <w:sz w:val="22"/>
              </w:rPr>
              <w:t>647</w:t>
            </w:r>
          </w:p>
        </w:tc>
      </w:tr>
      <w:tr w:rsidR="008C48DF" w:rsidRPr="0053635E" w:rsidTr="00BD40D7">
        <w:trPr>
          <w:cantSplit/>
          <w:jc w:val="center"/>
        </w:trPr>
        <w:tc>
          <w:tcPr>
            <w:tcW w:w="3325" w:type="pct"/>
            <w:tcBorders>
              <w:top w:val="nil"/>
              <w:left w:val="nil"/>
              <w:bottom w:val="nil"/>
              <w:right w:val="nil"/>
            </w:tcBorders>
          </w:tcPr>
          <w:p w:rsidR="008C48DF" w:rsidRPr="008C48DF" w:rsidRDefault="008C48DF" w:rsidP="009A588D">
            <w:pPr>
              <w:suppressAutoHyphens/>
              <w:ind w:left="400" w:hanging="200"/>
              <w:rPr>
                <w:sz w:val="22"/>
              </w:rPr>
            </w:pPr>
            <w:r w:rsidRPr="008C48DF">
              <w:rPr>
                <w:sz w:val="22"/>
              </w:rPr>
              <w:t>Other income, net</w:t>
            </w:r>
            <w:r w:rsidRPr="008C48DF">
              <w:rPr>
                <w:sz w:val="22"/>
              </w:rPr>
              <w:tab/>
            </w:r>
          </w:p>
        </w:tc>
        <w:tc>
          <w:tcPr>
            <w:tcW w:w="840" w:type="pct"/>
            <w:tcBorders>
              <w:top w:val="nil"/>
              <w:left w:val="nil"/>
              <w:bottom w:val="nil"/>
              <w:right w:val="nil"/>
            </w:tcBorders>
            <w:vAlign w:val="bottom"/>
          </w:tcPr>
          <w:p w:rsidR="008C48DF" w:rsidRPr="00D661B0" w:rsidRDefault="00D661B0" w:rsidP="00D661B0">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D661B0">
              <w:rPr>
                <w:sz w:val="22"/>
              </w:rPr>
              <w:t>(382)</w:t>
            </w:r>
          </w:p>
        </w:tc>
        <w:tc>
          <w:tcPr>
            <w:tcW w:w="835" w:type="pct"/>
            <w:tcBorders>
              <w:top w:val="nil"/>
              <w:left w:val="nil"/>
              <w:bottom w:val="nil"/>
              <w:right w:val="nil"/>
            </w:tcBorders>
            <w:vAlign w:val="bottom"/>
          </w:tcPr>
          <w:p w:rsidR="008C48DF" w:rsidRPr="008C48DF" w:rsidRDefault="008C48DF" w:rsidP="008C48D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C48DF">
              <w:rPr>
                <w:sz w:val="22"/>
              </w:rPr>
              <w:t>(798)</w:t>
            </w:r>
          </w:p>
        </w:tc>
      </w:tr>
      <w:tr w:rsidR="008C48DF" w:rsidRPr="0053635E" w:rsidTr="00BD40D7">
        <w:trPr>
          <w:cantSplit/>
          <w:jc w:val="center"/>
        </w:trPr>
        <w:tc>
          <w:tcPr>
            <w:tcW w:w="3325" w:type="pct"/>
            <w:tcBorders>
              <w:top w:val="nil"/>
              <w:left w:val="nil"/>
              <w:bottom w:val="nil"/>
              <w:right w:val="nil"/>
            </w:tcBorders>
          </w:tcPr>
          <w:p w:rsidR="008C48DF" w:rsidRPr="008C48DF" w:rsidRDefault="008C48DF" w:rsidP="00690897">
            <w:pPr>
              <w:suppressAutoHyphens/>
              <w:ind w:left="400" w:hanging="200"/>
              <w:rPr>
                <w:sz w:val="22"/>
              </w:rPr>
            </w:pPr>
            <w:r w:rsidRPr="008C48DF">
              <w:rPr>
                <w:sz w:val="22"/>
              </w:rPr>
              <w:t>Interest income</w:t>
            </w:r>
          </w:p>
        </w:tc>
        <w:tc>
          <w:tcPr>
            <w:tcW w:w="840" w:type="pct"/>
            <w:tcBorders>
              <w:top w:val="nil"/>
              <w:left w:val="nil"/>
              <w:bottom w:val="nil"/>
              <w:right w:val="nil"/>
            </w:tcBorders>
            <w:vAlign w:val="bottom"/>
          </w:tcPr>
          <w:p w:rsidR="008C48DF" w:rsidRPr="00D661B0" w:rsidRDefault="008C48DF" w:rsidP="00D661B0">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D661B0">
              <w:rPr>
                <w:sz w:val="22"/>
              </w:rPr>
              <w:t>(</w:t>
            </w:r>
            <w:r w:rsidR="00D661B0" w:rsidRPr="00D661B0">
              <w:rPr>
                <w:sz w:val="22"/>
              </w:rPr>
              <w:t>24</w:t>
            </w:r>
            <w:r w:rsidRPr="00D661B0">
              <w:rPr>
                <w:sz w:val="22"/>
              </w:rPr>
              <w:t>)</w:t>
            </w:r>
          </w:p>
        </w:tc>
        <w:tc>
          <w:tcPr>
            <w:tcW w:w="835" w:type="pct"/>
            <w:tcBorders>
              <w:top w:val="nil"/>
              <w:left w:val="nil"/>
              <w:bottom w:val="nil"/>
              <w:right w:val="nil"/>
            </w:tcBorders>
            <w:vAlign w:val="bottom"/>
          </w:tcPr>
          <w:p w:rsidR="008C48DF" w:rsidRPr="008C48DF" w:rsidRDefault="008C48DF" w:rsidP="008C48D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C48DF">
              <w:rPr>
                <w:sz w:val="22"/>
              </w:rPr>
              <w:t>(2)</w:t>
            </w:r>
          </w:p>
        </w:tc>
      </w:tr>
      <w:tr w:rsidR="008C48DF" w:rsidRPr="0053635E" w:rsidTr="00BD40D7">
        <w:trPr>
          <w:cantSplit/>
          <w:jc w:val="center"/>
        </w:trPr>
        <w:tc>
          <w:tcPr>
            <w:tcW w:w="3325" w:type="pct"/>
            <w:tcBorders>
              <w:top w:val="nil"/>
              <w:left w:val="nil"/>
              <w:bottom w:val="nil"/>
              <w:right w:val="nil"/>
            </w:tcBorders>
          </w:tcPr>
          <w:p w:rsidR="008C48DF" w:rsidRPr="008C48DF" w:rsidRDefault="008C48DF" w:rsidP="00431D93">
            <w:pPr>
              <w:suppressAutoHyphens/>
              <w:ind w:left="400" w:hanging="200"/>
              <w:rPr>
                <w:sz w:val="22"/>
              </w:rPr>
            </w:pPr>
            <w:r w:rsidRPr="008C48DF">
              <w:rPr>
                <w:sz w:val="22"/>
              </w:rPr>
              <w:t xml:space="preserve">Non-cash </w:t>
            </w:r>
            <w:r w:rsidR="00431D93">
              <w:rPr>
                <w:sz w:val="22"/>
              </w:rPr>
              <w:t>share-based</w:t>
            </w:r>
            <w:r w:rsidRPr="008C48DF">
              <w:rPr>
                <w:sz w:val="22"/>
              </w:rPr>
              <w:t xml:space="preserve"> compensation</w:t>
            </w:r>
            <w:r w:rsidRPr="008C48DF">
              <w:rPr>
                <w:sz w:val="22"/>
              </w:rPr>
              <w:tab/>
            </w:r>
          </w:p>
        </w:tc>
        <w:tc>
          <w:tcPr>
            <w:tcW w:w="840" w:type="pct"/>
            <w:tcBorders>
              <w:top w:val="nil"/>
              <w:left w:val="nil"/>
              <w:bottom w:val="nil"/>
              <w:right w:val="nil"/>
            </w:tcBorders>
            <w:vAlign w:val="bottom"/>
          </w:tcPr>
          <w:p w:rsidR="008C48DF" w:rsidRPr="00D661B0" w:rsidRDefault="00D661B0" w:rsidP="00D661B0">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D661B0">
              <w:rPr>
                <w:sz w:val="22"/>
              </w:rPr>
              <w:t>218</w:t>
            </w:r>
          </w:p>
        </w:tc>
        <w:tc>
          <w:tcPr>
            <w:tcW w:w="835" w:type="pct"/>
            <w:tcBorders>
              <w:top w:val="nil"/>
              <w:left w:val="nil"/>
              <w:bottom w:val="nil"/>
              <w:right w:val="nil"/>
            </w:tcBorders>
            <w:vAlign w:val="bottom"/>
          </w:tcPr>
          <w:p w:rsidR="008C48DF" w:rsidRPr="008C48DF" w:rsidRDefault="008C48DF" w:rsidP="008C48D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8C48DF">
              <w:rPr>
                <w:sz w:val="22"/>
              </w:rPr>
              <w:t>281</w:t>
            </w:r>
          </w:p>
        </w:tc>
      </w:tr>
      <w:tr w:rsidR="008C48DF" w:rsidRPr="0053635E" w:rsidTr="00825B1F">
        <w:trPr>
          <w:cantSplit/>
          <w:jc w:val="center"/>
        </w:trPr>
        <w:tc>
          <w:tcPr>
            <w:tcW w:w="3325" w:type="pct"/>
            <w:tcBorders>
              <w:top w:val="nil"/>
              <w:left w:val="nil"/>
              <w:bottom w:val="nil"/>
              <w:right w:val="nil"/>
            </w:tcBorders>
          </w:tcPr>
          <w:p w:rsidR="008C48DF" w:rsidRPr="008C48DF" w:rsidRDefault="008C48DF" w:rsidP="00690897">
            <w:pPr>
              <w:suppressAutoHyphens/>
              <w:spacing w:after="20"/>
              <w:ind w:left="400" w:hanging="200"/>
              <w:rPr>
                <w:sz w:val="22"/>
              </w:rPr>
            </w:pPr>
            <w:r w:rsidRPr="008C48DF">
              <w:rPr>
                <w:sz w:val="22"/>
              </w:rPr>
              <w:t>Principal collections on direct finance leases, net of interest earned</w:t>
            </w:r>
            <w:r w:rsidRPr="008C48DF">
              <w:rPr>
                <w:sz w:val="22"/>
              </w:rPr>
              <w:tab/>
            </w:r>
          </w:p>
        </w:tc>
        <w:tc>
          <w:tcPr>
            <w:tcW w:w="840" w:type="pct"/>
            <w:tcBorders>
              <w:top w:val="nil"/>
              <w:left w:val="nil"/>
              <w:right w:val="nil"/>
            </w:tcBorders>
            <w:vAlign w:val="bottom"/>
          </w:tcPr>
          <w:p w:rsidR="008C48DF" w:rsidRPr="00D661B0" w:rsidRDefault="008C48DF" w:rsidP="00D661B0">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D661B0">
              <w:rPr>
                <w:sz w:val="22"/>
              </w:rPr>
              <w:t>1,</w:t>
            </w:r>
            <w:r w:rsidR="00D661B0" w:rsidRPr="00D661B0">
              <w:rPr>
                <w:sz w:val="22"/>
              </w:rPr>
              <w:t>187</w:t>
            </w:r>
          </w:p>
        </w:tc>
        <w:tc>
          <w:tcPr>
            <w:tcW w:w="835" w:type="pct"/>
            <w:tcBorders>
              <w:top w:val="nil"/>
              <w:left w:val="nil"/>
              <w:right w:val="nil"/>
            </w:tcBorders>
            <w:vAlign w:val="bottom"/>
          </w:tcPr>
          <w:p w:rsidR="008C48DF" w:rsidRPr="008C48DF" w:rsidRDefault="008C48DF" w:rsidP="008C48DF">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8C48DF">
              <w:rPr>
                <w:sz w:val="22"/>
              </w:rPr>
              <w:t>1,460</w:t>
            </w:r>
          </w:p>
        </w:tc>
      </w:tr>
      <w:tr w:rsidR="00825B1F" w:rsidRPr="0053635E" w:rsidTr="00825B1F">
        <w:trPr>
          <w:cantSplit/>
          <w:jc w:val="center"/>
        </w:trPr>
        <w:tc>
          <w:tcPr>
            <w:tcW w:w="3325" w:type="pct"/>
            <w:tcBorders>
              <w:top w:val="nil"/>
              <w:left w:val="nil"/>
              <w:bottom w:val="nil"/>
              <w:right w:val="nil"/>
            </w:tcBorders>
          </w:tcPr>
          <w:p w:rsidR="00825B1F" w:rsidRPr="00BD40D7" w:rsidRDefault="00825B1F" w:rsidP="00690897">
            <w:pPr>
              <w:suppressAutoHyphens/>
              <w:spacing w:after="20"/>
              <w:ind w:left="200" w:hanging="200"/>
              <w:rPr>
                <w:bCs/>
                <w:sz w:val="22"/>
              </w:rPr>
            </w:pPr>
            <w:r w:rsidRPr="00BD40D7">
              <w:rPr>
                <w:bCs/>
                <w:sz w:val="22"/>
              </w:rPr>
              <w:t>Adjusted EBITDA</w:t>
            </w:r>
            <w:r w:rsidRPr="00BD40D7">
              <w:rPr>
                <w:bCs/>
                <w:sz w:val="22"/>
              </w:rPr>
              <w:tab/>
            </w:r>
          </w:p>
        </w:tc>
        <w:tc>
          <w:tcPr>
            <w:tcW w:w="840" w:type="pct"/>
            <w:tcBorders>
              <w:top w:val="nil"/>
              <w:left w:val="nil"/>
              <w:right w:val="nil"/>
            </w:tcBorders>
            <w:vAlign w:val="bottom"/>
          </w:tcPr>
          <w:p w:rsidR="00825B1F" w:rsidRPr="00825B1F" w:rsidRDefault="00825B1F" w:rsidP="00825B1F">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825B1F">
              <w:rPr>
                <w:sz w:val="22"/>
              </w:rPr>
              <w:t xml:space="preserve">$       </w:t>
            </w:r>
            <w:r>
              <w:rPr>
                <w:sz w:val="22"/>
              </w:rPr>
              <w:t xml:space="preserve">  52</w:t>
            </w:r>
            <w:r w:rsidRPr="00825B1F">
              <w:rPr>
                <w:sz w:val="22"/>
              </w:rPr>
              <w:t>,</w:t>
            </w:r>
            <w:r>
              <w:rPr>
                <w:sz w:val="22"/>
              </w:rPr>
              <w:t>197</w:t>
            </w:r>
          </w:p>
        </w:tc>
        <w:tc>
          <w:tcPr>
            <w:tcW w:w="835" w:type="pct"/>
            <w:tcBorders>
              <w:top w:val="nil"/>
              <w:left w:val="nil"/>
              <w:right w:val="nil"/>
            </w:tcBorders>
            <w:vAlign w:val="bottom"/>
          </w:tcPr>
          <w:p w:rsidR="00825B1F" w:rsidRPr="00825B1F" w:rsidRDefault="00825B1F" w:rsidP="00825B1F">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825B1F">
              <w:rPr>
                <w:sz w:val="22"/>
              </w:rPr>
              <w:t xml:space="preserve">$      </w:t>
            </w:r>
            <w:r>
              <w:rPr>
                <w:sz w:val="22"/>
              </w:rPr>
              <w:t xml:space="preserve">   42,967</w:t>
            </w:r>
          </w:p>
        </w:tc>
      </w:tr>
    </w:tbl>
    <w:p w:rsidR="000538F6" w:rsidRPr="0053635E" w:rsidRDefault="000538F6" w:rsidP="00690897">
      <w:pPr>
        <w:tabs>
          <w:tab w:val="left" w:pos="-720"/>
        </w:tabs>
        <w:suppressAutoHyphens/>
        <w:spacing w:before="240" w:after="240"/>
        <w:rPr>
          <w:sz w:val="22"/>
          <w:highlight w:val="yellow"/>
        </w:rPr>
      </w:pPr>
    </w:p>
    <w:p w:rsidR="000538F6" w:rsidRPr="0053635E" w:rsidRDefault="000538F6" w:rsidP="00690897">
      <w:pPr>
        <w:tabs>
          <w:tab w:val="left" w:pos="-720"/>
        </w:tabs>
        <w:suppressAutoHyphens/>
        <w:spacing w:before="240" w:after="240"/>
        <w:rPr>
          <w:sz w:val="22"/>
          <w:highlight w:val="yellow"/>
        </w:rPr>
      </w:pPr>
    </w:p>
    <w:p w:rsidR="000538F6" w:rsidRPr="0053635E" w:rsidRDefault="000538F6" w:rsidP="00690897">
      <w:pPr>
        <w:tabs>
          <w:tab w:val="left" w:pos="-720"/>
        </w:tabs>
        <w:suppressAutoHyphens/>
        <w:spacing w:before="240" w:after="240"/>
        <w:rPr>
          <w:sz w:val="22"/>
          <w:highlight w:val="yellow"/>
        </w:rPr>
      </w:pPr>
    </w:p>
    <w:p w:rsidR="000538F6" w:rsidRPr="0053635E" w:rsidRDefault="000538F6" w:rsidP="00690897">
      <w:pPr>
        <w:tabs>
          <w:tab w:val="left" w:pos="-720"/>
        </w:tabs>
        <w:suppressAutoHyphens/>
        <w:spacing w:before="240" w:after="240"/>
        <w:rPr>
          <w:sz w:val="22"/>
          <w:highlight w:val="yellow"/>
        </w:rPr>
      </w:pPr>
    </w:p>
    <w:p w:rsidR="000538F6" w:rsidRPr="0053635E" w:rsidRDefault="000538F6" w:rsidP="00690897">
      <w:pPr>
        <w:tabs>
          <w:tab w:val="left" w:pos="-720"/>
        </w:tabs>
        <w:suppressAutoHyphens/>
        <w:spacing w:before="240" w:after="240"/>
        <w:rPr>
          <w:sz w:val="22"/>
          <w:highlight w:val="yellow"/>
        </w:rPr>
      </w:pPr>
    </w:p>
    <w:p w:rsidR="001836F1" w:rsidRDefault="00ED7C5A" w:rsidP="00690897">
      <w:pPr>
        <w:tabs>
          <w:tab w:val="left" w:pos="-720"/>
        </w:tabs>
        <w:suppressAutoHyphens/>
        <w:spacing w:before="240" w:after="240"/>
        <w:rPr>
          <w:sz w:val="22"/>
        </w:rPr>
      </w:pPr>
      <w:r>
        <w:rPr>
          <w:sz w:val="22"/>
        </w:rPr>
        <w:tab/>
      </w:r>
    </w:p>
    <w:p w:rsidR="001836F1" w:rsidRDefault="001836F1" w:rsidP="00690897">
      <w:pPr>
        <w:tabs>
          <w:tab w:val="left" w:pos="-720"/>
        </w:tabs>
        <w:suppressAutoHyphens/>
        <w:spacing w:before="240" w:after="240"/>
        <w:rPr>
          <w:sz w:val="22"/>
        </w:rPr>
      </w:pPr>
    </w:p>
    <w:p w:rsidR="001836F1" w:rsidRDefault="001836F1" w:rsidP="00690897">
      <w:pPr>
        <w:tabs>
          <w:tab w:val="left" w:pos="-720"/>
        </w:tabs>
        <w:suppressAutoHyphens/>
        <w:spacing w:before="240" w:after="240"/>
        <w:rPr>
          <w:sz w:val="22"/>
        </w:rPr>
      </w:pPr>
    </w:p>
    <w:p w:rsidR="001836F1" w:rsidRDefault="001836F1" w:rsidP="00690897">
      <w:pPr>
        <w:tabs>
          <w:tab w:val="left" w:pos="-720"/>
        </w:tabs>
        <w:suppressAutoHyphens/>
        <w:spacing w:before="240" w:after="240"/>
        <w:rPr>
          <w:sz w:val="22"/>
        </w:rPr>
      </w:pPr>
    </w:p>
    <w:p w:rsidR="00690897" w:rsidRPr="009E7193" w:rsidRDefault="00B631D6" w:rsidP="00690897">
      <w:pPr>
        <w:tabs>
          <w:tab w:val="left" w:pos="-720"/>
        </w:tabs>
        <w:suppressAutoHyphens/>
        <w:spacing w:before="240" w:after="240"/>
        <w:rPr>
          <w:sz w:val="22"/>
        </w:rPr>
      </w:pPr>
      <w:r>
        <w:rPr>
          <w:sz w:val="22"/>
        </w:rPr>
        <w:lastRenderedPageBreak/>
        <w:tab/>
      </w:r>
      <w:r w:rsidR="00690897" w:rsidRPr="009E7193">
        <w:rPr>
          <w:sz w:val="22"/>
        </w:rPr>
        <w:t>The following table shows the reconciliation of cash flows from operating activities, the most directly comparable U.S. GAAP measure</w:t>
      </w:r>
      <w:r w:rsidR="008C48DF" w:rsidRPr="009E7193">
        <w:rPr>
          <w:sz w:val="22"/>
        </w:rPr>
        <w:t xml:space="preserve"> of the Company’s cash generation</w:t>
      </w:r>
      <w:r w:rsidR="00690897" w:rsidRPr="009E7193">
        <w:rPr>
          <w:sz w:val="22"/>
        </w:rPr>
        <w:t>, to Adjusted EBITDA:</w:t>
      </w:r>
    </w:p>
    <w:tbl>
      <w:tblPr>
        <w:tblW w:w="4139" w:type="pct"/>
        <w:jc w:val="center"/>
        <w:tblInd w:w="600" w:type="dxa"/>
        <w:tblCellMar>
          <w:left w:w="72" w:type="dxa"/>
          <w:right w:w="72" w:type="dxa"/>
        </w:tblCellMar>
        <w:tblLook w:val="0000" w:firstRow="0" w:lastRow="0" w:firstColumn="0" w:lastColumn="0" w:noHBand="0" w:noVBand="0"/>
      </w:tblPr>
      <w:tblGrid>
        <w:gridCol w:w="5493"/>
        <w:gridCol w:w="1119"/>
        <w:gridCol w:w="152"/>
        <w:gridCol w:w="230"/>
        <w:gridCol w:w="902"/>
        <w:gridCol w:w="567"/>
      </w:tblGrid>
      <w:tr w:rsidR="009E7193" w:rsidRPr="0053635E" w:rsidTr="00A3466A">
        <w:trPr>
          <w:gridAfter w:val="1"/>
          <w:wAfter w:w="335" w:type="pct"/>
          <w:cantSplit/>
          <w:jc w:val="center"/>
        </w:trPr>
        <w:tc>
          <w:tcPr>
            <w:tcW w:w="3906" w:type="pct"/>
            <w:gridSpan w:val="2"/>
            <w:tcBorders>
              <w:top w:val="nil"/>
              <w:left w:val="nil"/>
              <w:bottom w:val="nil"/>
              <w:right w:val="nil"/>
            </w:tcBorders>
          </w:tcPr>
          <w:p w:rsidR="009E7193" w:rsidRPr="0053635E" w:rsidRDefault="009E7193" w:rsidP="00690897">
            <w:pPr>
              <w:tabs>
                <w:tab w:val="right" w:leader="dot" w:pos="6600"/>
              </w:tabs>
              <w:suppressAutoHyphens/>
              <w:ind w:left="200" w:hanging="200"/>
              <w:rPr>
                <w:b/>
                <w:bCs/>
                <w:sz w:val="22"/>
                <w:highlight w:val="yellow"/>
              </w:rPr>
            </w:pPr>
          </w:p>
        </w:tc>
        <w:tc>
          <w:tcPr>
            <w:tcW w:w="90" w:type="pct"/>
            <w:tcBorders>
              <w:top w:val="nil"/>
              <w:left w:val="nil"/>
              <w:bottom w:val="nil"/>
              <w:right w:val="nil"/>
            </w:tcBorders>
            <w:vAlign w:val="bottom"/>
          </w:tcPr>
          <w:p w:rsidR="009E7193" w:rsidRPr="0053635E" w:rsidRDefault="009E7193"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669" w:type="pct"/>
            <w:gridSpan w:val="2"/>
            <w:tcBorders>
              <w:top w:val="nil"/>
              <w:left w:val="nil"/>
              <w:bottom w:val="nil"/>
              <w:right w:val="nil"/>
            </w:tcBorders>
            <w:vAlign w:val="bottom"/>
          </w:tcPr>
          <w:p w:rsidR="009E7193" w:rsidRPr="0053635E" w:rsidRDefault="009E7193"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9E7193" w:rsidRPr="0053635E" w:rsidTr="00A3466A">
        <w:trPr>
          <w:cantSplit/>
          <w:jc w:val="center"/>
        </w:trPr>
        <w:tc>
          <w:tcPr>
            <w:tcW w:w="3245" w:type="pct"/>
            <w:tcBorders>
              <w:top w:val="nil"/>
              <w:left w:val="nil"/>
              <w:bottom w:val="nil"/>
              <w:right w:val="nil"/>
            </w:tcBorders>
          </w:tcPr>
          <w:p w:rsidR="009E7193" w:rsidRPr="0053635E" w:rsidRDefault="009E7193" w:rsidP="00690897">
            <w:pPr>
              <w:tabs>
                <w:tab w:val="right" w:leader="dot" w:pos="6600"/>
              </w:tabs>
              <w:suppressAutoHyphens/>
              <w:ind w:left="200" w:hanging="200"/>
              <w:rPr>
                <w:b/>
                <w:bCs/>
                <w:sz w:val="22"/>
                <w:highlight w:val="yellow"/>
              </w:rPr>
            </w:pPr>
          </w:p>
        </w:tc>
        <w:tc>
          <w:tcPr>
            <w:tcW w:w="887" w:type="pct"/>
            <w:gridSpan w:val="3"/>
            <w:tcBorders>
              <w:top w:val="nil"/>
              <w:left w:val="nil"/>
              <w:bottom w:val="nil"/>
              <w:right w:val="nil"/>
            </w:tcBorders>
            <w:vAlign w:val="bottom"/>
          </w:tcPr>
          <w:p w:rsidR="009E7193" w:rsidRPr="0053635E" w:rsidRDefault="009E7193"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868" w:type="pct"/>
            <w:gridSpan w:val="2"/>
            <w:tcBorders>
              <w:top w:val="nil"/>
              <w:left w:val="nil"/>
              <w:bottom w:val="nil"/>
              <w:right w:val="nil"/>
            </w:tcBorders>
            <w:vAlign w:val="bottom"/>
          </w:tcPr>
          <w:p w:rsidR="009E7193" w:rsidRPr="0053635E" w:rsidRDefault="009E7193"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9E7193" w:rsidRPr="0053635E" w:rsidTr="00A3466A">
        <w:trPr>
          <w:cantSplit/>
          <w:jc w:val="center"/>
        </w:trPr>
        <w:tc>
          <w:tcPr>
            <w:tcW w:w="3245" w:type="pct"/>
            <w:tcBorders>
              <w:top w:val="nil"/>
              <w:left w:val="nil"/>
              <w:bottom w:val="nil"/>
              <w:right w:val="nil"/>
            </w:tcBorders>
          </w:tcPr>
          <w:p w:rsidR="009E7193" w:rsidRPr="0053635E" w:rsidRDefault="009E7193" w:rsidP="00690897">
            <w:pPr>
              <w:tabs>
                <w:tab w:val="right" w:leader="dot" w:pos="6600"/>
              </w:tabs>
              <w:suppressAutoHyphens/>
              <w:ind w:left="200" w:hanging="200"/>
              <w:rPr>
                <w:b/>
                <w:bCs/>
                <w:sz w:val="22"/>
                <w:highlight w:val="yellow"/>
              </w:rPr>
            </w:pPr>
          </w:p>
        </w:tc>
        <w:tc>
          <w:tcPr>
            <w:tcW w:w="887" w:type="pct"/>
            <w:gridSpan w:val="3"/>
            <w:tcBorders>
              <w:top w:val="nil"/>
              <w:left w:val="nil"/>
              <w:bottom w:val="nil"/>
              <w:right w:val="nil"/>
            </w:tcBorders>
            <w:vAlign w:val="bottom"/>
          </w:tcPr>
          <w:p w:rsidR="009E7193" w:rsidRPr="0053635E" w:rsidRDefault="009E7193"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868" w:type="pct"/>
            <w:gridSpan w:val="2"/>
            <w:tcBorders>
              <w:top w:val="nil"/>
              <w:left w:val="nil"/>
              <w:bottom w:val="nil"/>
              <w:right w:val="nil"/>
            </w:tcBorders>
            <w:vAlign w:val="bottom"/>
          </w:tcPr>
          <w:p w:rsidR="009E7193" w:rsidRPr="0053635E" w:rsidRDefault="009E7193"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tabs>
                <w:tab w:val="right" w:leader="dot" w:pos="6600"/>
              </w:tabs>
              <w:suppressAutoHyphens/>
              <w:ind w:left="200" w:hanging="200"/>
              <w:rPr>
                <w:b/>
                <w:bCs/>
                <w:sz w:val="22"/>
              </w:rPr>
            </w:pPr>
          </w:p>
        </w:tc>
        <w:tc>
          <w:tcPr>
            <w:tcW w:w="1755" w:type="pct"/>
            <w:gridSpan w:val="5"/>
            <w:tcBorders>
              <w:top w:val="nil"/>
              <w:left w:val="nil"/>
              <w:bottom w:val="nil"/>
              <w:right w:val="nil"/>
            </w:tcBorders>
            <w:vAlign w:val="bottom"/>
          </w:tcPr>
          <w:p w:rsidR="009E7193" w:rsidRPr="009E7193" w:rsidRDefault="009E7193" w:rsidP="009E7193">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9E7193">
              <w:rPr>
                <w:b/>
                <w:bCs/>
                <w:sz w:val="22"/>
              </w:rPr>
              <w:t>Three Months Ended March 31,</w:t>
            </w:r>
          </w:p>
        </w:tc>
      </w:tr>
      <w:tr w:rsidR="009E7193" w:rsidRPr="0053635E" w:rsidTr="00A3466A">
        <w:trPr>
          <w:cantSplit/>
          <w:jc w:val="center"/>
        </w:trPr>
        <w:tc>
          <w:tcPr>
            <w:tcW w:w="3245" w:type="pct"/>
            <w:tcBorders>
              <w:top w:val="nil"/>
              <w:left w:val="nil"/>
              <w:bottom w:val="nil"/>
              <w:right w:val="nil"/>
            </w:tcBorders>
          </w:tcPr>
          <w:p w:rsidR="009E7193" w:rsidRPr="009E7193" w:rsidRDefault="00720995" w:rsidP="00690897">
            <w:pPr>
              <w:tabs>
                <w:tab w:val="right" w:leader="dot" w:pos="6600"/>
              </w:tabs>
              <w:suppressAutoHyphens/>
              <w:ind w:left="200" w:hanging="200"/>
              <w:rPr>
                <w:b/>
                <w:bCs/>
                <w:sz w:val="22"/>
              </w:rPr>
            </w:pPr>
            <w:r w:rsidRPr="009E7193">
              <w:rPr>
                <w:b/>
                <w:bCs/>
                <w:sz w:val="22"/>
              </w:rPr>
              <w:t>(dollars in thousands)</w:t>
            </w:r>
          </w:p>
        </w:tc>
        <w:tc>
          <w:tcPr>
            <w:tcW w:w="887" w:type="pct"/>
            <w:gridSpan w:val="3"/>
            <w:tcBorders>
              <w:top w:val="nil"/>
              <w:left w:val="nil"/>
              <w:bottom w:val="nil"/>
              <w:right w:val="nil"/>
            </w:tcBorders>
            <w:vAlign w:val="bottom"/>
          </w:tcPr>
          <w:p w:rsidR="009E7193" w:rsidRPr="009E7193" w:rsidRDefault="009E7193" w:rsidP="009E7193">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9E7193">
              <w:rPr>
                <w:b/>
                <w:bCs/>
                <w:sz w:val="22"/>
              </w:rPr>
              <w:t>2014</w:t>
            </w:r>
          </w:p>
        </w:tc>
        <w:tc>
          <w:tcPr>
            <w:tcW w:w="868" w:type="pct"/>
            <w:gridSpan w:val="2"/>
            <w:tcBorders>
              <w:top w:val="nil"/>
              <w:left w:val="nil"/>
              <w:bottom w:val="nil"/>
              <w:right w:val="nil"/>
            </w:tcBorders>
            <w:vAlign w:val="bottom"/>
          </w:tcPr>
          <w:p w:rsidR="009E7193" w:rsidRPr="009E7193" w:rsidRDefault="009E7193" w:rsidP="009E7193">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22"/>
              </w:rPr>
            </w:pPr>
            <w:r w:rsidRPr="009E7193">
              <w:rPr>
                <w:b/>
                <w:bCs/>
                <w:sz w:val="22"/>
              </w:rPr>
              <w:t>2013</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352595">
            <w:pPr>
              <w:suppressAutoHyphens/>
              <w:ind w:left="200" w:hanging="200"/>
              <w:rPr>
                <w:sz w:val="22"/>
              </w:rPr>
            </w:pPr>
            <w:r w:rsidRPr="009E7193">
              <w:rPr>
                <w:b/>
                <w:bCs/>
                <w:sz w:val="22"/>
              </w:rPr>
              <w:t>Net cash provided by operations</w:t>
            </w:r>
            <w:r w:rsidRPr="009E7193">
              <w:rPr>
                <w:sz w:val="22"/>
              </w:rPr>
              <w:tab/>
            </w:r>
          </w:p>
        </w:tc>
        <w:tc>
          <w:tcPr>
            <w:tcW w:w="887" w:type="pct"/>
            <w:gridSpan w:val="3"/>
            <w:tcBorders>
              <w:top w:val="nil"/>
              <w:left w:val="nil"/>
              <w:bottom w:val="nil"/>
              <w:right w:val="nil"/>
            </w:tcBorders>
            <w:vAlign w:val="bottom"/>
          </w:tcPr>
          <w:p w:rsidR="009E7193" w:rsidRPr="00452EA3" w:rsidRDefault="009E7193" w:rsidP="00724F1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w:t>
            </w:r>
            <w:r w:rsidR="00F42DA1" w:rsidRPr="00452EA3">
              <w:rPr>
                <w:sz w:val="22"/>
              </w:rPr>
              <w:t xml:space="preserve">      </w:t>
            </w:r>
            <w:r w:rsidRPr="00452EA3">
              <w:rPr>
                <w:sz w:val="22"/>
              </w:rPr>
              <w:t xml:space="preserve">     </w:t>
            </w:r>
            <w:r w:rsidR="00452EA3" w:rsidRPr="00452EA3">
              <w:rPr>
                <w:sz w:val="22"/>
              </w:rPr>
              <w:t>2</w:t>
            </w:r>
            <w:r w:rsidR="00072ABA">
              <w:rPr>
                <w:sz w:val="22"/>
              </w:rPr>
              <w:t>2</w:t>
            </w:r>
            <w:r w:rsidRPr="00452EA3">
              <w:rPr>
                <w:sz w:val="22"/>
              </w:rPr>
              <w:t>,</w:t>
            </w:r>
            <w:r w:rsidR="00072ABA">
              <w:rPr>
                <w:sz w:val="22"/>
              </w:rPr>
              <w:t>9</w:t>
            </w:r>
            <w:r w:rsidR="00724F13">
              <w:rPr>
                <w:sz w:val="22"/>
              </w:rPr>
              <w:t>5</w:t>
            </w:r>
            <w:r w:rsidR="00072ABA">
              <w:rPr>
                <w:sz w:val="22"/>
              </w:rPr>
              <w:t>1</w:t>
            </w:r>
          </w:p>
        </w:tc>
        <w:tc>
          <w:tcPr>
            <w:tcW w:w="868" w:type="pct"/>
            <w:gridSpan w:val="2"/>
            <w:tcBorders>
              <w:top w:val="nil"/>
              <w:left w:val="nil"/>
              <w:bottom w:val="nil"/>
              <w:right w:val="nil"/>
            </w:tcBorders>
            <w:vAlign w:val="bottom"/>
          </w:tcPr>
          <w:p w:rsidR="009E7193" w:rsidRPr="003B20DE" w:rsidRDefault="009E7193" w:rsidP="00A3466A">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w:t>
            </w:r>
            <w:r w:rsidR="00F42DA1" w:rsidRPr="003B20DE">
              <w:rPr>
                <w:sz w:val="22"/>
              </w:rPr>
              <w:t xml:space="preserve">  </w:t>
            </w:r>
            <w:r w:rsidR="00FB49B8">
              <w:rPr>
                <w:sz w:val="22"/>
              </w:rPr>
              <w:t xml:space="preserve">    </w:t>
            </w:r>
            <w:r w:rsidR="00F42DA1" w:rsidRPr="003B20DE">
              <w:rPr>
                <w:sz w:val="22"/>
              </w:rPr>
              <w:t xml:space="preserve">  </w:t>
            </w:r>
            <w:r w:rsidRPr="003B20DE">
              <w:rPr>
                <w:sz w:val="22"/>
              </w:rPr>
              <w:t xml:space="preserve"> </w:t>
            </w:r>
            <w:r w:rsidR="00A3466A" w:rsidRPr="003B20DE">
              <w:rPr>
                <w:sz w:val="22"/>
              </w:rPr>
              <w:t xml:space="preserve">    4,415</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400" w:hanging="200"/>
              <w:rPr>
                <w:sz w:val="22"/>
              </w:rPr>
            </w:pPr>
            <w:r w:rsidRPr="009E7193">
              <w:rPr>
                <w:sz w:val="22"/>
              </w:rPr>
              <w:t>Depreciation and amortization</w:t>
            </w:r>
            <w:r w:rsidRPr="009E7193">
              <w:rPr>
                <w:sz w:val="22"/>
              </w:rPr>
              <w:tab/>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(18,</w:t>
            </w:r>
            <w:r w:rsidR="00452EA3" w:rsidRPr="00452EA3">
              <w:rPr>
                <w:sz w:val="22"/>
              </w:rPr>
              <w:t>560</w:t>
            </w:r>
            <w:r w:rsidRPr="00452EA3">
              <w:rPr>
                <w:sz w:val="22"/>
              </w:rPr>
              <w:t>)</w:t>
            </w:r>
          </w:p>
        </w:tc>
        <w:tc>
          <w:tcPr>
            <w:tcW w:w="868" w:type="pct"/>
            <w:gridSpan w:val="2"/>
            <w:tcBorders>
              <w:top w:val="nil"/>
              <w:left w:val="nil"/>
              <w:bottom w:val="nil"/>
              <w:right w:val="nil"/>
            </w:tcBorders>
            <w:vAlign w:val="bottom"/>
          </w:tcPr>
          <w:p w:rsidR="009E7193" w:rsidRPr="003B20DE" w:rsidRDefault="009E7193" w:rsidP="00C6160A">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(1</w:t>
            </w:r>
            <w:r w:rsidR="00C6160A" w:rsidRPr="003B20DE">
              <w:rPr>
                <w:sz w:val="22"/>
              </w:rPr>
              <w:t>7</w:t>
            </w:r>
            <w:r w:rsidRPr="003B20DE">
              <w:rPr>
                <w:sz w:val="22"/>
              </w:rPr>
              <w:t>,</w:t>
            </w:r>
            <w:r w:rsidR="00C6160A" w:rsidRPr="003B20DE">
              <w:rPr>
                <w:sz w:val="22"/>
              </w:rPr>
              <w:t>339</w:t>
            </w: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400" w:hanging="200"/>
              <w:rPr>
                <w:sz w:val="22"/>
              </w:rPr>
            </w:pPr>
            <w:r w:rsidRPr="009E7193">
              <w:rPr>
                <w:sz w:val="22"/>
              </w:rPr>
              <w:t>Provision for doubtful accounts</w:t>
            </w:r>
            <w:r w:rsidRPr="009E7193">
              <w:rPr>
                <w:sz w:val="22"/>
              </w:rPr>
              <w:tab/>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(3,</w:t>
            </w:r>
            <w:r w:rsidR="00452EA3" w:rsidRPr="00452EA3">
              <w:rPr>
                <w:sz w:val="22"/>
              </w:rPr>
              <w:t>457</w:t>
            </w:r>
            <w:r w:rsidRPr="00452EA3">
              <w:rPr>
                <w:sz w:val="22"/>
              </w:rPr>
              <w:t>)</w:t>
            </w:r>
          </w:p>
        </w:tc>
        <w:tc>
          <w:tcPr>
            <w:tcW w:w="868" w:type="pct"/>
            <w:gridSpan w:val="2"/>
            <w:tcBorders>
              <w:top w:val="nil"/>
              <w:left w:val="nil"/>
              <w:bottom w:val="nil"/>
              <w:right w:val="nil"/>
            </w:tcBorders>
            <w:vAlign w:val="bottom"/>
          </w:tcPr>
          <w:p w:rsidR="009E7193" w:rsidRPr="003B20DE" w:rsidRDefault="009E7193" w:rsidP="00C6160A">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w:t>
            </w:r>
            <w:r w:rsidR="00C6160A" w:rsidRPr="003B20DE">
              <w:rPr>
                <w:sz w:val="22"/>
              </w:rPr>
              <w:t>2,156</w:t>
            </w: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400" w:hanging="200"/>
              <w:rPr>
                <w:sz w:val="22"/>
              </w:rPr>
            </w:pPr>
            <w:r w:rsidRPr="009E7193">
              <w:rPr>
                <w:sz w:val="22"/>
              </w:rPr>
              <w:t>Amortization of deferred financing fees</w:t>
            </w:r>
            <w:r w:rsidRPr="009E7193">
              <w:rPr>
                <w:sz w:val="22"/>
              </w:rPr>
              <w:tab/>
            </w:r>
          </w:p>
        </w:tc>
        <w:tc>
          <w:tcPr>
            <w:tcW w:w="887" w:type="pct"/>
            <w:gridSpan w:val="3"/>
            <w:tcBorders>
              <w:top w:val="nil"/>
              <w:left w:val="nil"/>
              <w:bottom w:val="nil"/>
              <w:right w:val="nil"/>
            </w:tcBorders>
            <w:vAlign w:val="bottom"/>
          </w:tcPr>
          <w:p w:rsidR="009E7193" w:rsidRPr="00452EA3" w:rsidRDefault="009E7193" w:rsidP="00291699">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(1,574)</w:t>
            </w:r>
          </w:p>
        </w:tc>
        <w:tc>
          <w:tcPr>
            <w:tcW w:w="868" w:type="pct"/>
            <w:gridSpan w:val="2"/>
            <w:tcBorders>
              <w:top w:val="nil"/>
              <w:left w:val="nil"/>
              <w:bottom w:val="nil"/>
              <w:right w:val="nil"/>
            </w:tcBorders>
            <w:vAlign w:val="bottom"/>
          </w:tcPr>
          <w:p w:rsidR="009E7193" w:rsidRPr="003B20DE" w:rsidRDefault="009E7193" w:rsidP="00C6160A">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(1,</w:t>
            </w:r>
            <w:r w:rsidR="00C6160A" w:rsidRPr="003B20DE">
              <w:rPr>
                <w:sz w:val="22"/>
              </w:rPr>
              <w:t>519</w:t>
            </w: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400" w:hanging="200"/>
              <w:rPr>
                <w:sz w:val="22"/>
              </w:rPr>
            </w:pPr>
            <w:r w:rsidRPr="009E7193">
              <w:rPr>
                <w:sz w:val="22"/>
              </w:rPr>
              <w:t>Derivative loss reclassified into earnings</w:t>
            </w:r>
            <w:r w:rsidRPr="009E7193">
              <w:rPr>
                <w:sz w:val="22"/>
              </w:rPr>
              <w:tab/>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(4,</w:t>
            </w:r>
            <w:r w:rsidR="00452EA3" w:rsidRPr="00452EA3">
              <w:rPr>
                <w:sz w:val="22"/>
              </w:rPr>
              <w:t>606</w:t>
            </w:r>
            <w:r w:rsidRPr="00452EA3">
              <w:rPr>
                <w:sz w:val="22"/>
              </w:rPr>
              <w:t>)</w:t>
            </w:r>
          </w:p>
        </w:tc>
        <w:tc>
          <w:tcPr>
            <w:tcW w:w="868" w:type="pct"/>
            <w:gridSpan w:val="2"/>
            <w:tcBorders>
              <w:top w:val="nil"/>
              <w:left w:val="nil"/>
              <w:bottom w:val="nil"/>
              <w:right w:val="nil"/>
            </w:tcBorders>
            <w:vAlign w:val="bottom"/>
          </w:tcPr>
          <w:p w:rsidR="009E7193" w:rsidRPr="003B20DE" w:rsidRDefault="009E7193" w:rsidP="00C6160A">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w:t>
            </w:r>
            <w:r w:rsidR="00C6160A" w:rsidRPr="003B20DE">
              <w:rPr>
                <w:sz w:val="22"/>
              </w:rPr>
              <w:t>5</w:t>
            </w:r>
            <w:r w:rsidRPr="003B20DE">
              <w:rPr>
                <w:sz w:val="22"/>
              </w:rPr>
              <w:t>,</w:t>
            </w:r>
            <w:r w:rsidR="00C6160A" w:rsidRPr="003B20DE">
              <w:rPr>
                <w:sz w:val="22"/>
              </w:rPr>
              <w:t>217</w:t>
            </w: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400" w:hanging="200"/>
              <w:rPr>
                <w:sz w:val="22"/>
              </w:rPr>
            </w:pPr>
            <w:r w:rsidRPr="009E7193">
              <w:rPr>
                <w:sz w:val="22"/>
              </w:rPr>
              <w:t>Ineffective portion of cash flow hedges</w:t>
            </w:r>
            <w:r w:rsidRPr="009E7193">
              <w:rPr>
                <w:sz w:val="22"/>
              </w:rPr>
              <w:tab/>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2</w:t>
            </w:r>
            <w:r w:rsidR="00452EA3" w:rsidRPr="00452EA3">
              <w:rPr>
                <w:sz w:val="22"/>
              </w:rPr>
              <w:t>1</w:t>
            </w:r>
          </w:p>
        </w:tc>
        <w:tc>
          <w:tcPr>
            <w:tcW w:w="868" w:type="pct"/>
            <w:gridSpan w:val="2"/>
            <w:tcBorders>
              <w:top w:val="nil"/>
              <w:left w:val="nil"/>
              <w:bottom w:val="nil"/>
              <w:right w:val="nil"/>
            </w:tcBorders>
            <w:vAlign w:val="bottom"/>
          </w:tcPr>
          <w:p w:rsidR="009E7193" w:rsidRPr="003B20DE" w:rsidRDefault="00C6160A" w:rsidP="00BB7D4D">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9D1529">
            <w:pPr>
              <w:suppressAutoHyphens/>
              <w:ind w:left="400" w:hanging="200"/>
              <w:rPr>
                <w:sz w:val="22"/>
              </w:rPr>
            </w:pPr>
            <w:r w:rsidRPr="009E7193">
              <w:rPr>
                <w:sz w:val="22"/>
              </w:rPr>
              <w:t>Loss on modification and extinguishment of debt and capital lease obligations</w:t>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w:t>
            </w:r>
            <w:r w:rsidR="00452EA3" w:rsidRPr="00452EA3">
              <w:rPr>
                <w:sz w:val="22"/>
              </w:rPr>
              <w:t>22</w:t>
            </w:r>
            <w:r w:rsidRPr="00452EA3">
              <w:rPr>
                <w:sz w:val="22"/>
              </w:rPr>
              <w:t>)</w:t>
            </w:r>
          </w:p>
        </w:tc>
        <w:tc>
          <w:tcPr>
            <w:tcW w:w="868" w:type="pct"/>
            <w:gridSpan w:val="2"/>
            <w:tcBorders>
              <w:top w:val="nil"/>
              <w:left w:val="nil"/>
              <w:bottom w:val="nil"/>
              <w:right w:val="nil"/>
            </w:tcBorders>
            <w:vAlign w:val="bottom"/>
          </w:tcPr>
          <w:p w:rsidR="009E7193" w:rsidRPr="003B20DE" w:rsidRDefault="009E7193"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w:t>
            </w:r>
            <w:r w:rsidR="00B22C7F" w:rsidRPr="003B20DE">
              <w:rPr>
                <w:sz w:val="22"/>
              </w:rPr>
              <w:t>647</w:t>
            </w: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431D93">
            <w:pPr>
              <w:suppressAutoHyphens/>
              <w:ind w:left="400" w:hanging="200"/>
              <w:rPr>
                <w:sz w:val="22"/>
              </w:rPr>
            </w:pPr>
            <w:r w:rsidRPr="009E7193">
              <w:rPr>
                <w:sz w:val="22"/>
              </w:rPr>
              <w:t xml:space="preserve">Non-cash </w:t>
            </w:r>
            <w:r w:rsidR="00431D93">
              <w:rPr>
                <w:sz w:val="22"/>
              </w:rPr>
              <w:t>share-based</w:t>
            </w:r>
            <w:r w:rsidRPr="009E7193">
              <w:rPr>
                <w:sz w:val="22"/>
              </w:rPr>
              <w:t xml:space="preserve"> compensation</w:t>
            </w:r>
            <w:r w:rsidRPr="009E7193">
              <w:rPr>
                <w:sz w:val="22"/>
              </w:rPr>
              <w:tab/>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w:t>
            </w:r>
            <w:r w:rsidR="00452EA3" w:rsidRPr="00452EA3">
              <w:rPr>
                <w:sz w:val="22"/>
              </w:rPr>
              <w:t>218</w:t>
            </w:r>
            <w:r w:rsidRPr="00452EA3">
              <w:rPr>
                <w:sz w:val="22"/>
              </w:rPr>
              <w:t>)</w:t>
            </w:r>
          </w:p>
        </w:tc>
        <w:tc>
          <w:tcPr>
            <w:tcW w:w="868" w:type="pct"/>
            <w:gridSpan w:val="2"/>
            <w:tcBorders>
              <w:top w:val="nil"/>
              <w:left w:val="nil"/>
              <w:bottom w:val="nil"/>
              <w:right w:val="nil"/>
            </w:tcBorders>
            <w:vAlign w:val="bottom"/>
          </w:tcPr>
          <w:p w:rsidR="009E7193" w:rsidRPr="003B20DE" w:rsidRDefault="009E7193"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w:t>
            </w:r>
            <w:r w:rsidR="00B22C7F" w:rsidRPr="003B20DE">
              <w:rPr>
                <w:sz w:val="22"/>
              </w:rPr>
              <w:t>281</w:t>
            </w: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400" w:hanging="200"/>
              <w:rPr>
                <w:sz w:val="22"/>
              </w:rPr>
            </w:pPr>
            <w:r w:rsidRPr="009E7193">
              <w:rPr>
                <w:sz w:val="22"/>
              </w:rPr>
              <w:t>Other, net</w:t>
            </w:r>
            <w:r w:rsidRPr="009E7193">
              <w:rPr>
                <w:sz w:val="22"/>
              </w:rPr>
              <w:tab/>
            </w:r>
          </w:p>
        </w:tc>
        <w:tc>
          <w:tcPr>
            <w:tcW w:w="887" w:type="pct"/>
            <w:gridSpan w:val="3"/>
            <w:tcBorders>
              <w:top w:val="nil"/>
              <w:left w:val="nil"/>
              <w:bottom w:val="nil"/>
              <w:right w:val="nil"/>
            </w:tcBorders>
            <w:vAlign w:val="bottom"/>
          </w:tcPr>
          <w:p w:rsidR="009E7193" w:rsidRPr="00452EA3" w:rsidRDefault="00452EA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384</w:t>
            </w:r>
          </w:p>
        </w:tc>
        <w:tc>
          <w:tcPr>
            <w:tcW w:w="868" w:type="pct"/>
            <w:gridSpan w:val="2"/>
            <w:tcBorders>
              <w:top w:val="nil"/>
              <w:left w:val="nil"/>
              <w:bottom w:val="nil"/>
              <w:right w:val="nil"/>
            </w:tcBorders>
            <w:vAlign w:val="bottom"/>
          </w:tcPr>
          <w:p w:rsidR="009E7193" w:rsidRPr="003B20DE" w:rsidRDefault="00B22C7F"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73</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400" w:hanging="200"/>
              <w:rPr>
                <w:sz w:val="22"/>
              </w:rPr>
            </w:pPr>
            <w:r w:rsidRPr="009E7193">
              <w:rPr>
                <w:sz w:val="22"/>
              </w:rPr>
              <w:t>Impairment of leasing equipment</w:t>
            </w:r>
            <w:r w:rsidRPr="009E7193">
              <w:rPr>
                <w:sz w:val="22"/>
              </w:rPr>
              <w:tab/>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(1,</w:t>
            </w:r>
            <w:r w:rsidR="00452EA3" w:rsidRPr="00452EA3">
              <w:rPr>
                <w:sz w:val="22"/>
              </w:rPr>
              <w:t>126</w:t>
            </w:r>
            <w:r w:rsidRPr="00452EA3">
              <w:rPr>
                <w:sz w:val="22"/>
              </w:rPr>
              <w:t>)</w:t>
            </w:r>
          </w:p>
        </w:tc>
        <w:tc>
          <w:tcPr>
            <w:tcW w:w="868" w:type="pct"/>
            <w:gridSpan w:val="2"/>
            <w:tcBorders>
              <w:top w:val="nil"/>
              <w:left w:val="nil"/>
              <w:bottom w:val="nil"/>
              <w:right w:val="nil"/>
            </w:tcBorders>
            <w:vAlign w:val="bottom"/>
          </w:tcPr>
          <w:p w:rsidR="009E7193" w:rsidRPr="003B20DE" w:rsidRDefault="009E7193"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w:t>
            </w:r>
            <w:r w:rsidR="00B22C7F" w:rsidRPr="003B20DE">
              <w:rPr>
                <w:sz w:val="22"/>
              </w:rPr>
              <w:t>2</w:t>
            </w:r>
            <w:r w:rsidRPr="003B20DE">
              <w:rPr>
                <w:sz w:val="22"/>
              </w:rPr>
              <w:t>,</w:t>
            </w:r>
            <w:r w:rsidR="00B22C7F" w:rsidRPr="003B20DE">
              <w:rPr>
                <w:sz w:val="22"/>
              </w:rPr>
              <w:t>133</w:t>
            </w: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tabs>
                <w:tab w:val="left" w:pos="0"/>
                <w:tab w:val="left" w:pos="216"/>
                <w:tab w:val="left" w:pos="432"/>
                <w:tab w:val="left" w:pos="648"/>
                <w:tab w:val="left" w:pos="864"/>
                <w:tab w:val="left" w:pos="1080"/>
                <w:tab w:val="left" w:pos="1296"/>
                <w:tab w:val="left" w:pos="1512"/>
                <w:tab w:val="left" w:pos="1728"/>
                <w:tab w:val="left" w:pos="1944"/>
              </w:tabs>
              <w:suppressAutoHyphens/>
              <w:ind w:left="400" w:hanging="200"/>
              <w:rPr>
                <w:sz w:val="22"/>
              </w:rPr>
            </w:pPr>
            <w:r w:rsidRPr="009E7193">
              <w:rPr>
                <w:sz w:val="22"/>
              </w:rPr>
              <w:t>Changes in assets and liabilities:</w:t>
            </w:r>
          </w:p>
        </w:tc>
        <w:tc>
          <w:tcPr>
            <w:tcW w:w="887" w:type="pct"/>
            <w:gridSpan w:val="3"/>
            <w:tcBorders>
              <w:top w:val="nil"/>
              <w:left w:val="nil"/>
              <w:bottom w:val="nil"/>
              <w:right w:val="nil"/>
            </w:tcBorders>
            <w:vAlign w:val="bottom"/>
          </w:tcPr>
          <w:p w:rsidR="009E7193" w:rsidRPr="00452EA3" w:rsidRDefault="009E7193"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868" w:type="pct"/>
            <w:gridSpan w:val="2"/>
            <w:tcBorders>
              <w:top w:val="nil"/>
              <w:left w:val="nil"/>
              <w:bottom w:val="nil"/>
              <w:right w:val="nil"/>
            </w:tcBorders>
            <w:vAlign w:val="bottom"/>
          </w:tcPr>
          <w:p w:rsidR="009E7193" w:rsidRPr="003B20DE" w:rsidRDefault="009E7193" w:rsidP="00690897">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600" w:hanging="200"/>
              <w:rPr>
                <w:sz w:val="22"/>
              </w:rPr>
            </w:pPr>
            <w:r w:rsidRPr="009E7193">
              <w:rPr>
                <w:sz w:val="22"/>
              </w:rPr>
              <w:t>Accounts receivable</w:t>
            </w:r>
            <w:r w:rsidRPr="009E7193">
              <w:rPr>
                <w:sz w:val="22"/>
              </w:rPr>
              <w:tab/>
            </w:r>
          </w:p>
        </w:tc>
        <w:tc>
          <w:tcPr>
            <w:tcW w:w="887" w:type="pct"/>
            <w:gridSpan w:val="3"/>
            <w:tcBorders>
              <w:top w:val="nil"/>
              <w:left w:val="nil"/>
              <w:bottom w:val="nil"/>
              <w:right w:val="nil"/>
            </w:tcBorders>
            <w:vAlign w:val="bottom"/>
          </w:tcPr>
          <w:p w:rsidR="009E7193" w:rsidRPr="00452EA3" w:rsidRDefault="00452EA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5</w:t>
            </w:r>
            <w:r w:rsidR="009E7193" w:rsidRPr="00452EA3">
              <w:rPr>
                <w:sz w:val="22"/>
              </w:rPr>
              <w:t>,</w:t>
            </w:r>
            <w:r w:rsidRPr="00452EA3">
              <w:rPr>
                <w:sz w:val="22"/>
              </w:rPr>
              <w:t>456</w:t>
            </w:r>
          </w:p>
        </w:tc>
        <w:tc>
          <w:tcPr>
            <w:tcW w:w="868" w:type="pct"/>
            <w:gridSpan w:val="2"/>
            <w:tcBorders>
              <w:top w:val="nil"/>
              <w:left w:val="nil"/>
              <w:bottom w:val="nil"/>
              <w:right w:val="nil"/>
            </w:tcBorders>
            <w:vAlign w:val="bottom"/>
          </w:tcPr>
          <w:p w:rsidR="009E7193" w:rsidRPr="003B20DE" w:rsidRDefault="009E7193"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1</w:t>
            </w:r>
            <w:r w:rsidR="00B22C7F" w:rsidRPr="003B20DE">
              <w:rPr>
                <w:sz w:val="22"/>
              </w:rPr>
              <w:t>2</w:t>
            </w:r>
            <w:r w:rsidRPr="003B20DE">
              <w:rPr>
                <w:sz w:val="22"/>
              </w:rPr>
              <w:t>,</w:t>
            </w:r>
            <w:r w:rsidR="00B22C7F" w:rsidRPr="003B20DE">
              <w:rPr>
                <w:sz w:val="22"/>
              </w:rPr>
              <w:t>388</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600" w:hanging="200"/>
              <w:rPr>
                <w:sz w:val="22"/>
              </w:rPr>
            </w:pPr>
            <w:r w:rsidRPr="009E7193">
              <w:rPr>
                <w:sz w:val="22"/>
              </w:rPr>
              <w:t>Other assets</w:t>
            </w:r>
            <w:r w:rsidRPr="009E7193">
              <w:rPr>
                <w:sz w:val="22"/>
              </w:rPr>
              <w:tab/>
            </w:r>
          </w:p>
        </w:tc>
        <w:tc>
          <w:tcPr>
            <w:tcW w:w="887" w:type="pct"/>
            <w:gridSpan w:val="3"/>
            <w:tcBorders>
              <w:top w:val="nil"/>
              <w:left w:val="nil"/>
              <w:bottom w:val="nil"/>
              <w:right w:val="nil"/>
            </w:tcBorders>
            <w:vAlign w:val="bottom"/>
          </w:tcPr>
          <w:p w:rsidR="009E7193" w:rsidRPr="00452EA3" w:rsidRDefault="00452EA3" w:rsidP="00072ABA">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2</w:t>
            </w:r>
            <w:r w:rsidR="009E7193" w:rsidRPr="00452EA3">
              <w:rPr>
                <w:sz w:val="22"/>
              </w:rPr>
              <w:t>,</w:t>
            </w:r>
            <w:r w:rsidRPr="00452EA3">
              <w:rPr>
                <w:sz w:val="22"/>
              </w:rPr>
              <w:t>13</w:t>
            </w:r>
            <w:r w:rsidR="00072ABA">
              <w:rPr>
                <w:sz w:val="22"/>
              </w:rPr>
              <w:t>2</w:t>
            </w:r>
          </w:p>
        </w:tc>
        <w:tc>
          <w:tcPr>
            <w:tcW w:w="868" w:type="pct"/>
            <w:gridSpan w:val="2"/>
            <w:tcBorders>
              <w:top w:val="nil"/>
              <w:left w:val="nil"/>
              <w:bottom w:val="nil"/>
              <w:right w:val="nil"/>
            </w:tcBorders>
            <w:vAlign w:val="bottom"/>
          </w:tcPr>
          <w:p w:rsidR="009E7193" w:rsidRPr="003B20DE" w:rsidRDefault="009E7193"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1,</w:t>
            </w:r>
            <w:r w:rsidR="00B22C7F" w:rsidRPr="003B20DE">
              <w:rPr>
                <w:sz w:val="22"/>
              </w:rPr>
              <w:t>867</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600" w:hanging="200"/>
              <w:rPr>
                <w:sz w:val="22"/>
              </w:rPr>
            </w:pPr>
            <w:r w:rsidRPr="009E7193">
              <w:rPr>
                <w:sz w:val="22"/>
              </w:rPr>
              <w:t>Accounts payable</w:t>
            </w:r>
            <w:r w:rsidRPr="009E7193">
              <w:rPr>
                <w:sz w:val="22"/>
              </w:rPr>
              <w:tab/>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w:t>
            </w:r>
            <w:r w:rsidR="00452EA3" w:rsidRPr="00452EA3">
              <w:rPr>
                <w:sz w:val="22"/>
              </w:rPr>
              <w:t>2,054)</w:t>
            </w:r>
          </w:p>
        </w:tc>
        <w:tc>
          <w:tcPr>
            <w:tcW w:w="868" w:type="pct"/>
            <w:gridSpan w:val="2"/>
            <w:tcBorders>
              <w:top w:val="nil"/>
              <w:left w:val="nil"/>
              <w:bottom w:val="nil"/>
              <w:right w:val="nil"/>
            </w:tcBorders>
            <w:vAlign w:val="bottom"/>
          </w:tcPr>
          <w:p w:rsidR="009E7193" w:rsidRPr="003B20DE" w:rsidRDefault="009E7193"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w:t>
            </w:r>
            <w:r w:rsidR="00B22C7F" w:rsidRPr="003B20DE">
              <w:rPr>
                <w:sz w:val="22"/>
              </w:rPr>
              <w:t>2,776</w:t>
            </w: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600" w:hanging="200"/>
              <w:rPr>
                <w:sz w:val="22"/>
              </w:rPr>
            </w:pPr>
            <w:r w:rsidRPr="009E7193">
              <w:rPr>
                <w:sz w:val="22"/>
              </w:rPr>
              <w:t>Accrued expenses and other liabilities</w:t>
            </w:r>
            <w:r w:rsidRPr="009E7193">
              <w:rPr>
                <w:sz w:val="22"/>
              </w:rPr>
              <w:tab/>
            </w:r>
          </w:p>
        </w:tc>
        <w:tc>
          <w:tcPr>
            <w:tcW w:w="887" w:type="pct"/>
            <w:gridSpan w:val="3"/>
            <w:tcBorders>
              <w:top w:val="nil"/>
              <w:left w:val="nil"/>
              <w:bottom w:val="nil"/>
              <w:right w:val="nil"/>
            </w:tcBorders>
            <w:vAlign w:val="bottom"/>
          </w:tcPr>
          <w:p w:rsidR="009E7193" w:rsidRPr="00452EA3" w:rsidRDefault="00452EA3" w:rsidP="00724F1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9</w:t>
            </w:r>
            <w:r w:rsidR="009E7193" w:rsidRPr="00452EA3">
              <w:rPr>
                <w:sz w:val="22"/>
              </w:rPr>
              <w:t>,</w:t>
            </w:r>
            <w:r w:rsidR="00072ABA">
              <w:rPr>
                <w:sz w:val="22"/>
              </w:rPr>
              <w:t>3</w:t>
            </w:r>
            <w:r w:rsidR="00724F13">
              <w:rPr>
                <w:sz w:val="22"/>
              </w:rPr>
              <w:t>0</w:t>
            </w:r>
            <w:r w:rsidR="00072ABA">
              <w:rPr>
                <w:sz w:val="22"/>
              </w:rPr>
              <w:t>4</w:t>
            </w:r>
          </w:p>
        </w:tc>
        <w:tc>
          <w:tcPr>
            <w:tcW w:w="868" w:type="pct"/>
            <w:gridSpan w:val="2"/>
            <w:tcBorders>
              <w:top w:val="nil"/>
              <w:left w:val="nil"/>
              <w:bottom w:val="nil"/>
              <w:right w:val="nil"/>
            </w:tcBorders>
            <w:vAlign w:val="bottom"/>
          </w:tcPr>
          <w:p w:rsidR="009E7193" w:rsidRPr="003B20DE" w:rsidRDefault="00B22C7F"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12</w:t>
            </w:r>
            <w:r w:rsidR="009E7193" w:rsidRPr="003B20DE">
              <w:rPr>
                <w:sz w:val="22"/>
              </w:rPr>
              <w:t>,</w:t>
            </w:r>
            <w:r w:rsidRPr="003B20DE">
              <w:rPr>
                <w:sz w:val="22"/>
              </w:rPr>
              <w:t>422</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600" w:hanging="200"/>
              <w:rPr>
                <w:sz w:val="22"/>
              </w:rPr>
            </w:pPr>
            <w:r w:rsidRPr="009E7193">
              <w:rPr>
                <w:sz w:val="22"/>
              </w:rPr>
              <w:t>Deferred income taxes</w:t>
            </w:r>
            <w:r w:rsidR="00534E77">
              <w:rPr>
                <w:sz w:val="22"/>
              </w:rPr>
              <w:t>, net</w:t>
            </w:r>
            <w:r w:rsidRPr="009E7193">
              <w:rPr>
                <w:sz w:val="22"/>
              </w:rPr>
              <w:tab/>
            </w:r>
          </w:p>
        </w:tc>
        <w:tc>
          <w:tcPr>
            <w:tcW w:w="887" w:type="pct"/>
            <w:gridSpan w:val="3"/>
            <w:tcBorders>
              <w:top w:val="nil"/>
              <w:left w:val="nil"/>
              <w:bottom w:val="nil"/>
              <w:right w:val="nil"/>
            </w:tcBorders>
            <w:vAlign w:val="bottom"/>
          </w:tcPr>
          <w:p w:rsidR="009E7193" w:rsidRPr="00452EA3" w:rsidRDefault="00452EA3" w:rsidP="00072ABA">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(3</w:t>
            </w:r>
            <w:r w:rsidR="009E7193" w:rsidRPr="00452EA3">
              <w:rPr>
                <w:sz w:val="22"/>
              </w:rPr>
              <w:t>,</w:t>
            </w:r>
            <w:r w:rsidR="00072ABA">
              <w:rPr>
                <w:sz w:val="22"/>
              </w:rPr>
              <w:t>157</w:t>
            </w:r>
            <w:r w:rsidRPr="00452EA3">
              <w:rPr>
                <w:sz w:val="22"/>
              </w:rPr>
              <w:t>)</w:t>
            </w:r>
          </w:p>
        </w:tc>
        <w:tc>
          <w:tcPr>
            <w:tcW w:w="868" w:type="pct"/>
            <w:gridSpan w:val="2"/>
            <w:tcBorders>
              <w:top w:val="nil"/>
              <w:left w:val="nil"/>
              <w:bottom w:val="nil"/>
              <w:right w:val="nil"/>
            </w:tcBorders>
            <w:vAlign w:val="bottom"/>
          </w:tcPr>
          <w:p w:rsidR="009E7193" w:rsidRPr="003B20DE" w:rsidRDefault="00B22C7F"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468</w:t>
            </w:r>
          </w:p>
        </w:tc>
      </w:tr>
      <w:tr w:rsidR="009E7193" w:rsidRPr="0053635E" w:rsidTr="00A3466A">
        <w:trPr>
          <w:cantSplit/>
          <w:jc w:val="center"/>
        </w:trPr>
        <w:tc>
          <w:tcPr>
            <w:tcW w:w="3245" w:type="pct"/>
            <w:tcBorders>
              <w:top w:val="nil"/>
              <w:left w:val="nil"/>
              <w:bottom w:val="nil"/>
              <w:right w:val="nil"/>
            </w:tcBorders>
          </w:tcPr>
          <w:p w:rsidR="009E7193" w:rsidRPr="009E7193" w:rsidRDefault="00452EA3" w:rsidP="00452EA3">
            <w:pPr>
              <w:suppressAutoHyphens/>
              <w:ind w:left="400" w:hanging="200"/>
              <w:rPr>
                <w:sz w:val="22"/>
              </w:rPr>
            </w:pPr>
            <w:r>
              <w:rPr>
                <w:sz w:val="22"/>
              </w:rPr>
              <w:t>Provision (b</w:t>
            </w:r>
            <w:r w:rsidR="009E7193" w:rsidRPr="009E7193">
              <w:rPr>
                <w:sz w:val="22"/>
              </w:rPr>
              <w:t>enefit</w:t>
            </w:r>
            <w:r>
              <w:rPr>
                <w:sz w:val="22"/>
              </w:rPr>
              <w:t>)</w:t>
            </w:r>
            <w:r w:rsidR="009E7193" w:rsidRPr="009E7193">
              <w:rPr>
                <w:sz w:val="22"/>
              </w:rPr>
              <w:t xml:space="preserve"> for income taxes</w:t>
            </w:r>
            <w:r w:rsidR="009E7193" w:rsidRPr="009E7193">
              <w:rPr>
                <w:sz w:val="22"/>
              </w:rPr>
              <w:tab/>
            </w:r>
          </w:p>
        </w:tc>
        <w:tc>
          <w:tcPr>
            <w:tcW w:w="887" w:type="pct"/>
            <w:gridSpan w:val="3"/>
            <w:tcBorders>
              <w:top w:val="nil"/>
              <w:left w:val="nil"/>
              <w:bottom w:val="nil"/>
              <w:right w:val="nil"/>
            </w:tcBorders>
            <w:vAlign w:val="bottom"/>
          </w:tcPr>
          <w:p w:rsidR="009E7193" w:rsidRPr="00452EA3" w:rsidRDefault="00452EA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3</w:t>
            </w:r>
            <w:r w:rsidR="009E7193" w:rsidRPr="00452EA3">
              <w:rPr>
                <w:sz w:val="22"/>
              </w:rPr>
              <w:t>,</w:t>
            </w:r>
            <w:r w:rsidRPr="00452EA3">
              <w:rPr>
                <w:sz w:val="22"/>
              </w:rPr>
              <w:t>856</w:t>
            </w:r>
          </w:p>
        </w:tc>
        <w:tc>
          <w:tcPr>
            <w:tcW w:w="868" w:type="pct"/>
            <w:gridSpan w:val="2"/>
            <w:tcBorders>
              <w:top w:val="nil"/>
              <w:left w:val="nil"/>
              <w:bottom w:val="nil"/>
              <w:right w:val="nil"/>
            </w:tcBorders>
            <w:vAlign w:val="bottom"/>
          </w:tcPr>
          <w:p w:rsidR="009E7193" w:rsidRPr="003B20DE" w:rsidRDefault="009E7193"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w:t>
            </w:r>
            <w:r w:rsidR="00B22C7F" w:rsidRPr="003B20DE">
              <w:rPr>
                <w:sz w:val="22"/>
              </w:rPr>
              <w:t>315</w:t>
            </w: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400" w:hanging="200"/>
              <w:rPr>
                <w:sz w:val="22"/>
              </w:rPr>
            </w:pPr>
            <w:r w:rsidRPr="009E7193">
              <w:rPr>
                <w:sz w:val="22"/>
              </w:rPr>
              <w:t>Interest expense</w:t>
            </w:r>
            <w:r w:rsidRPr="009E7193">
              <w:rPr>
                <w:sz w:val="22"/>
              </w:rPr>
              <w:tab/>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22,</w:t>
            </w:r>
            <w:r w:rsidR="00452EA3" w:rsidRPr="00452EA3">
              <w:rPr>
                <w:sz w:val="22"/>
              </w:rPr>
              <w:t>216</w:t>
            </w:r>
          </w:p>
        </w:tc>
        <w:tc>
          <w:tcPr>
            <w:tcW w:w="868" w:type="pct"/>
            <w:gridSpan w:val="2"/>
            <w:tcBorders>
              <w:top w:val="nil"/>
              <w:left w:val="nil"/>
              <w:bottom w:val="nil"/>
              <w:right w:val="nil"/>
            </w:tcBorders>
            <w:vAlign w:val="bottom"/>
          </w:tcPr>
          <w:p w:rsidR="009E7193" w:rsidRPr="003B20DE" w:rsidRDefault="009E7193"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2</w:t>
            </w:r>
            <w:r w:rsidR="00B22C7F" w:rsidRPr="003B20DE">
              <w:rPr>
                <w:sz w:val="22"/>
              </w:rPr>
              <w:t>2</w:t>
            </w:r>
            <w:r w:rsidRPr="003B20DE">
              <w:rPr>
                <w:sz w:val="22"/>
              </w:rPr>
              <w:t>,</w:t>
            </w:r>
            <w:r w:rsidR="00B22C7F" w:rsidRPr="003B20DE">
              <w:rPr>
                <w:sz w:val="22"/>
              </w:rPr>
              <w:t>722</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400" w:hanging="200"/>
              <w:rPr>
                <w:sz w:val="22"/>
              </w:rPr>
            </w:pPr>
            <w:r w:rsidRPr="009E7193">
              <w:rPr>
                <w:sz w:val="22"/>
              </w:rPr>
              <w:t>Depreciation expense</w:t>
            </w:r>
            <w:r w:rsidRPr="009E7193">
              <w:rPr>
                <w:sz w:val="22"/>
              </w:rPr>
              <w:tab/>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18,</w:t>
            </w:r>
            <w:r w:rsidR="00452EA3" w:rsidRPr="00452EA3">
              <w:rPr>
                <w:sz w:val="22"/>
              </w:rPr>
              <w:t>504</w:t>
            </w:r>
          </w:p>
        </w:tc>
        <w:tc>
          <w:tcPr>
            <w:tcW w:w="868" w:type="pct"/>
            <w:gridSpan w:val="2"/>
            <w:tcBorders>
              <w:top w:val="nil"/>
              <w:left w:val="nil"/>
              <w:bottom w:val="nil"/>
              <w:right w:val="nil"/>
            </w:tcBorders>
            <w:vAlign w:val="bottom"/>
          </w:tcPr>
          <w:p w:rsidR="009E7193" w:rsidRPr="003B20DE" w:rsidRDefault="009E7193"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1</w:t>
            </w:r>
            <w:r w:rsidR="00B22C7F" w:rsidRPr="003B20DE">
              <w:rPr>
                <w:sz w:val="22"/>
              </w:rPr>
              <w:t>7</w:t>
            </w:r>
            <w:r w:rsidRPr="003B20DE">
              <w:rPr>
                <w:sz w:val="22"/>
              </w:rPr>
              <w:t>,</w:t>
            </w:r>
            <w:r w:rsidR="00B22C7F" w:rsidRPr="003B20DE">
              <w:rPr>
                <w:sz w:val="22"/>
              </w:rPr>
              <w:t>274</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8F6594">
            <w:pPr>
              <w:suppressAutoHyphens/>
              <w:ind w:left="400" w:hanging="200"/>
              <w:rPr>
                <w:sz w:val="22"/>
              </w:rPr>
            </w:pPr>
            <w:r w:rsidRPr="009E7193">
              <w:rPr>
                <w:sz w:val="22"/>
              </w:rPr>
              <w:t>Impairment of leasing equipment</w:t>
            </w:r>
            <w:r w:rsidRPr="009E7193">
              <w:rPr>
                <w:sz w:val="22"/>
              </w:rPr>
              <w:tab/>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1,</w:t>
            </w:r>
            <w:r w:rsidR="00452EA3" w:rsidRPr="00452EA3">
              <w:rPr>
                <w:sz w:val="22"/>
              </w:rPr>
              <w:t>126</w:t>
            </w:r>
          </w:p>
        </w:tc>
        <w:tc>
          <w:tcPr>
            <w:tcW w:w="868" w:type="pct"/>
            <w:gridSpan w:val="2"/>
            <w:tcBorders>
              <w:top w:val="nil"/>
              <w:left w:val="nil"/>
              <w:bottom w:val="nil"/>
              <w:right w:val="nil"/>
            </w:tcBorders>
            <w:vAlign w:val="bottom"/>
          </w:tcPr>
          <w:p w:rsidR="009E7193" w:rsidRPr="003B20DE" w:rsidRDefault="00B22C7F"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2</w:t>
            </w:r>
            <w:r w:rsidR="009E7193" w:rsidRPr="003B20DE">
              <w:rPr>
                <w:sz w:val="22"/>
              </w:rPr>
              <w:t>,</w:t>
            </w:r>
            <w:r w:rsidRPr="003B20DE">
              <w:rPr>
                <w:sz w:val="22"/>
              </w:rPr>
              <w:t>133</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9D1529">
            <w:pPr>
              <w:suppressAutoHyphens/>
              <w:ind w:left="400" w:hanging="200"/>
              <w:rPr>
                <w:sz w:val="22"/>
              </w:rPr>
            </w:pPr>
            <w:r w:rsidRPr="009E7193">
              <w:rPr>
                <w:sz w:val="22"/>
              </w:rPr>
              <w:t>Loss on modification and extinguishment of debt and capital lease obligations</w:t>
            </w:r>
          </w:p>
        </w:tc>
        <w:tc>
          <w:tcPr>
            <w:tcW w:w="887" w:type="pct"/>
            <w:gridSpan w:val="3"/>
            <w:tcBorders>
              <w:top w:val="nil"/>
              <w:left w:val="nil"/>
              <w:bottom w:val="nil"/>
              <w:right w:val="nil"/>
            </w:tcBorders>
            <w:vAlign w:val="bottom"/>
          </w:tcPr>
          <w:p w:rsidR="009E7193" w:rsidRPr="00452EA3" w:rsidRDefault="00452EA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22</w:t>
            </w:r>
          </w:p>
        </w:tc>
        <w:tc>
          <w:tcPr>
            <w:tcW w:w="868" w:type="pct"/>
            <w:gridSpan w:val="2"/>
            <w:tcBorders>
              <w:top w:val="nil"/>
              <w:left w:val="nil"/>
              <w:bottom w:val="nil"/>
              <w:right w:val="nil"/>
            </w:tcBorders>
            <w:vAlign w:val="bottom"/>
          </w:tcPr>
          <w:p w:rsidR="009E7193" w:rsidRPr="003B20DE" w:rsidRDefault="00B22C7F"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647</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431D93">
            <w:pPr>
              <w:suppressAutoHyphens/>
              <w:ind w:left="400" w:hanging="200"/>
              <w:rPr>
                <w:sz w:val="22"/>
              </w:rPr>
            </w:pPr>
            <w:r w:rsidRPr="009E7193">
              <w:rPr>
                <w:sz w:val="22"/>
              </w:rPr>
              <w:t>Other income, net</w:t>
            </w:r>
            <w:r w:rsidRPr="009E7193">
              <w:rPr>
                <w:sz w:val="22"/>
              </w:rPr>
              <w:tab/>
            </w:r>
          </w:p>
        </w:tc>
        <w:tc>
          <w:tcPr>
            <w:tcW w:w="887" w:type="pct"/>
            <w:gridSpan w:val="3"/>
            <w:tcBorders>
              <w:top w:val="nil"/>
              <w:left w:val="nil"/>
              <w:bottom w:val="nil"/>
              <w:right w:val="nil"/>
            </w:tcBorders>
            <w:vAlign w:val="bottom"/>
          </w:tcPr>
          <w:p w:rsidR="009E7193" w:rsidRPr="00452EA3" w:rsidRDefault="00452EA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(382)</w:t>
            </w:r>
          </w:p>
        </w:tc>
        <w:tc>
          <w:tcPr>
            <w:tcW w:w="868" w:type="pct"/>
            <w:gridSpan w:val="2"/>
            <w:tcBorders>
              <w:top w:val="nil"/>
              <w:left w:val="nil"/>
              <w:bottom w:val="nil"/>
              <w:right w:val="nil"/>
            </w:tcBorders>
            <w:vAlign w:val="bottom"/>
          </w:tcPr>
          <w:p w:rsidR="009E7193" w:rsidRPr="003B20DE" w:rsidRDefault="009E7193"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w:t>
            </w:r>
            <w:r w:rsidR="00B22C7F" w:rsidRPr="003B20DE">
              <w:rPr>
                <w:sz w:val="22"/>
              </w:rPr>
              <w:t>798</w:t>
            </w: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690897">
            <w:pPr>
              <w:suppressAutoHyphens/>
              <w:ind w:left="400" w:hanging="200"/>
              <w:rPr>
                <w:sz w:val="22"/>
              </w:rPr>
            </w:pPr>
            <w:r w:rsidRPr="009E7193">
              <w:rPr>
                <w:sz w:val="22"/>
              </w:rPr>
              <w:t>Interest income</w:t>
            </w:r>
          </w:p>
        </w:tc>
        <w:tc>
          <w:tcPr>
            <w:tcW w:w="887" w:type="pct"/>
            <w:gridSpan w:val="3"/>
            <w:tcBorders>
              <w:top w:val="nil"/>
              <w:left w:val="nil"/>
              <w:bottom w:val="nil"/>
              <w:right w:val="nil"/>
            </w:tcBorders>
            <w:vAlign w:val="bottom"/>
          </w:tcPr>
          <w:p w:rsidR="009E7193" w:rsidRPr="00452EA3" w:rsidRDefault="009E719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w:t>
            </w:r>
            <w:r w:rsidR="00452EA3" w:rsidRPr="00452EA3">
              <w:rPr>
                <w:sz w:val="22"/>
              </w:rPr>
              <w:t>24</w:t>
            </w:r>
            <w:r w:rsidRPr="00452EA3">
              <w:rPr>
                <w:sz w:val="22"/>
              </w:rPr>
              <w:t>)</w:t>
            </w:r>
          </w:p>
        </w:tc>
        <w:tc>
          <w:tcPr>
            <w:tcW w:w="868" w:type="pct"/>
            <w:gridSpan w:val="2"/>
            <w:tcBorders>
              <w:top w:val="nil"/>
              <w:left w:val="nil"/>
              <w:bottom w:val="nil"/>
              <w:right w:val="nil"/>
            </w:tcBorders>
            <w:vAlign w:val="bottom"/>
          </w:tcPr>
          <w:p w:rsidR="009E7193" w:rsidRPr="003B20DE" w:rsidRDefault="009E7193"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w:t>
            </w:r>
            <w:r w:rsidR="00B22C7F" w:rsidRPr="003B20DE">
              <w:rPr>
                <w:sz w:val="22"/>
              </w:rPr>
              <w:t>2</w:t>
            </w:r>
            <w:r w:rsidRPr="003B20DE">
              <w:rPr>
                <w:sz w:val="22"/>
              </w:rPr>
              <w:t>)</w:t>
            </w:r>
          </w:p>
        </w:tc>
      </w:tr>
      <w:tr w:rsidR="009E7193" w:rsidRPr="0053635E" w:rsidTr="00A3466A">
        <w:trPr>
          <w:cantSplit/>
          <w:jc w:val="center"/>
        </w:trPr>
        <w:tc>
          <w:tcPr>
            <w:tcW w:w="3245" w:type="pct"/>
            <w:tcBorders>
              <w:top w:val="nil"/>
              <w:left w:val="nil"/>
              <w:bottom w:val="nil"/>
              <w:right w:val="nil"/>
            </w:tcBorders>
          </w:tcPr>
          <w:p w:rsidR="009E7193" w:rsidRPr="009E7193" w:rsidRDefault="009E7193" w:rsidP="00431D93">
            <w:pPr>
              <w:suppressAutoHyphens/>
              <w:ind w:left="400" w:hanging="200"/>
              <w:rPr>
                <w:sz w:val="22"/>
              </w:rPr>
            </w:pPr>
            <w:r w:rsidRPr="009E7193">
              <w:rPr>
                <w:sz w:val="22"/>
              </w:rPr>
              <w:t xml:space="preserve">Non-cash </w:t>
            </w:r>
            <w:r w:rsidR="00431D93">
              <w:rPr>
                <w:sz w:val="22"/>
              </w:rPr>
              <w:t>share-based</w:t>
            </w:r>
            <w:r w:rsidRPr="009E7193">
              <w:rPr>
                <w:sz w:val="22"/>
              </w:rPr>
              <w:t xml:space="preserve"> compensation</w:t>
            </w:r>
            <w:r w:rsidRPr="009E7193">
              <w:rPr>
                <w:sz w:val="22"/>
              </w:rPr>
              <w:tab/>
            </w:r>
          </w:p>
        </w:tc>
        <w:tc>
          <w:tcPr>
            <w:tcW w:w="887" w:type="pct"/>
            <w:gridSpan w:val="3"/>
            <w:tcBorders>
              <w:top w:val="nil"/>
              <w:left w:val="nil"/>
              <w:bottom w:val="nil"/>
              <w:right w:val="nil"/>
            </w:tcBorders>
            <w:vAlign w:val="bottom"/>
          </w:tcPr>
          <w:p w:rsidR="009E7193" w:rsidRPr="00452EA3" w:rsidRDefault="00452EA3" w:rsidP="00452EA3">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452EA3">
              <w:rPr>
                <w:sz w:val="22"/>
              </w:rPr>
              <w:t>218</w:t>
            </w:r>
          </w:p>
        </w:tc>
        <w:tc>
          <w:tcPr>
            <w:tcW w:w="868" w:type="pct"/>
            <w:gridSpan w:val="2"/>
            <w:tcBorders>
              <w:top w:val="nil"/>
              <w:left w:val="nil"/>
              <w:bottom w:val="nil"/>
              <w:right w:val="nil"/>
            </w:tcBorders>
            <w:vAlign w:val="bottom"/>
          </w:tcPr>
          <w:p w:rsidR="009E7193" w:rsidRPr="003B20DE" w:rsidRDefault="00B22C7F" w:rsidP="00B22C7F">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r w:rsidRPr="003B20DE">
              <w:rPr>
                <w:sz w:val="22"/>
              </w:rPr>
              <w:t>281</w:t>
            </w:r>
          </w:p>
        </w:tc>
      </w:tr>
      <w:tr w:rsidR="009E7193" w:rsidRPr="0053635E" w:rsidTr="008355BC">
        <w:trPr>
          <w:cantSplit/>
          <w:jc w:val="center"/>
        </w:trPr>
        <w:tc>
          <w:tcPr>
            <w:tcW w:w="3245" w:type="pct"/>
            <w:tcBorders>
              <w:top w:val="nil"/>
              <w:left w:val="nil"/>
              <w:bottom w:val="nil"/>
              <w:right w:val="nil"/>
            </w:tcBorders>
          </w:tcPr>
          <w:p w:rsidR="009E7193" w:rsidRPr="009E7193" w:rsidRDefault="009E7193" w:rsidP="00690897">
            <w:pPr>
              <w:suppressAutoHyphens/>
              <w:spacing w:after="20"/>
              <w:ind w:left="400" w:hanging="200"/>
              <w:rPr>
                <w:sz w:val="22"/>
              </w:rPr>
            </w:pPr>
            <w:r w:rsidRPr="009E7193">
              <w:rPr>
                <w:sz w:val="22"/>
              </w:rPr>
              <w:t>Principal collections on direct finance leases</w:t>
            </w:r>
            <w:r w:rsidR="005D056F">
              <w:rPr>
                <w:sz w:val="22"/>
              </w:rPr>
              <w:t>, net of interest earned</w:t>
            </w:r>
            <w:r w:rsidRPr="009E7193">
              <w:rPr>
                <w:sz w:val="22"/>
              </w:rPr>
              <w:tab/>
            </w:r>
          </w:p>
        </w:tc>
        <w:tc>
          <w:tcPr>
            <w:tcW w:w="887" w:type="pct"/>
            <w:gridSpan w:val="3"/>
            <w:tcBorders>
              <w:top w:val="nil"/>
              <w:left w:val="nil"/>
              <w:right w:val="nil"/>
            </w:tcBorders>
            <w:vAlign w:val="bottom"/>
          </w:tcPr>
          <w:p w:rsidR="009E7193" w:rsidRPr="00452EA3" w:rsidRDefault="009E7193" w:rsidP="00452EA3">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452EA3">
              <w:rPr>
                <w:sz w:val="22"/>
              </w:rPr>
              <w:t>1,</w:t>
            </w:r>
            <w:r w:rsidR="00452EA3" w:rsidRPr="00452EA3">
              <w:rPr>
                <w:sz w:val="22"/>
              </w:rPr>
              <w:t>187</w:t>
            </w:r>
          </w:p>
        </w:tc>
        <w:tc>
          <w:tcPr>
            <w:tcW w:w="868" w:type="pct"/>
            <w:gridSpan w:val="2"/>
            <w:tcBorders>
              <w:top w:val="nil"/>
              <w:left w:val="nil"/>
              <w:right w:val="nil"/>
            </w:tcBorders>
            <w:vAlign w:val="bottom"/>
          </w:tcPr>
          <w:p w:rsidR="009E7193" w:rsidRPr="003B20DE" w:rsidRDefault="00B22C7F" w:rsidP="00B22C7F">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sz w:val="22"/>
              </w:rPr>
            </w:pPr>
            <w:r w:rsidRPr="003B20DE">
              <w:rPr>
                <w:sz w:val="22"/>
              </w:rPr>
              <w:t>1</w:t>
            </w:r>
            <w:r w:rsidR="009E7193" w:rsidRPr="003B20DE">
              <w:rPr>
                <w:sz w:val="22"/>
              </w:rPr>
              <w:t>,</w:t>
            </w:r>
            <w:r w:rsidRPr="003B20DE">
              <w:rPr>
                <w:sz w:val="22"/>
              </w:rPr>
              <w:t>460</w:t>
            </w:r>
          </w:p>
        </w:tc>
      </w:tr>
      <w:tr w:rsidR="008355BC" w:rsidRPr="00720995" w:rsidTr="008355BC">
        <w:trPr>
          <w:cantSplit/>
          <w:jc w:val="center"/>
        </w:trPr>
        <w:tc>
          <w:tcPr>
            <w:tcW w:w="3245" w:type="pct"/>
            <w:tcBorders>
              <w:top w:val="nil"/>
              <w:left w:val="nil"/>
              <w:bottom w:val="nil"/>
              <w:right w:val="nil"/>
            </w:tcBorders>
          </w:tcPr>
          <w:p w:rsidR="008355BC" w:rsidRPr="00720995" w:rsidRDefault="008355BC" w:rsidP="00690897">
            <w:pPr>
              <w:suppressAutoHyphens/>
              <w:spacing w:after="20"/>
              <w:ind w:left="200" w:right="-172" w:hanging="200"/>
              <w:rPr>
                <w:bCs/>
                <w:sz w:val="22"/>
              </w:rPr>
            </w:pPr>
            <w:r w:rsidRPr="00720995">
              <w:rPr>
                <w:bCs/>
                <w:sz w:val="22"/>
              </w:rPr>
              <w:t>Adjusted EBITDA</w:t>
            </w:r>
            <w:r w:rsidRPr="00720995">
              <w:rPr>
                <w:sz w:val="22"/>
              </w:rPr>
              <w:tab/>
            </w:r>
          </w:p>
        </w:tc>
        <w:tc>
          <w:tcPr>
            <w:tcW w:w="887" w:type="pct"/>
            <w:gridSpan w:val="3"/>
            <w:tcBorders>
              <w:top w:val="nil"/>
              <w:left w:val="nil"/>
              <w:right w:val="nil"/>
            </w:tcBorders>
            <w:vAlign w:val="bottom"/>
          </w:tcPr>
          <w:p w:rsidR="008355BC" w:rsidRPr="00825B1F" w:rsidRDefault="008355BC" w:rsidP="00D46A9B">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825B1F">
              <w:rPr>
                <w:sz w:val="22"/>
              </w:rPr>
              <w:t xml:space="preserve">$    </w:t>
            </w:r>
            <w:r>
              <w:rPr>
                <w:sz w:val="22"/>
              </w:rPr>
              <w:t xml:space="preserve">  </w:t>
            </w:r>
            <w:r w:rsidRPr="00825B1F">
              <w:rPr>
                <w:sz w:val="22"/>
              </w:rPr>
              <w:t xml:space="preserve">   </w:t>
            </w:r>
            <w:r>
              <w:rPr>
                <w:sz w:val="22"/>
              </w:rPr>
              <w:t xml:space="preserve">  52</w:t>
            </w:r>
            <w:r w:rsidRPr="00825B1F">
              <w:rPr>
                <w:sz w:val="22"/>
              </w:rPr>
              <w:t>,</w:t>
            </w:r>
            <w:r>
              <w:rPr>
                <w:sz w:val="22"/>
              </w:rPr>
              <w:t>197</w:t>
            </w:r>
          </w:p>
        </w:tc>
        <w:tc>
          <w:tcPr>
            <w:tcW w:w="868" w:type="pct"/>
            <w:gridSpan w:val="2"/>
            <w:tcBorders>
              <w:top w:val="nil"/>
              <w:left w:val="nil"/>
              <w:right w:val="nil"/>
            </w:tcBorders>
            <w:vAlign w:val="bottom"/>
          </w:tcPr>
          <w:p w:rsidR="008355BC" w:rsidRPr="00825B1F" w:rsidRDefault="008355BC" w:rsidP="00D46A9B">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sz w:val="22"/>
              </w:rPr>
            </w:pPr>
            <w:r w:rsidRPr="00825B1F">
              <w:rPr>
                <w:sz w:val="22"/>
              </w:rPr>
              <w:t xml:space="preserve">$     </w:t>
            </w:r>
            <w:r>
              <w:rPr>
                <w:sz w:val="22"/>
              </w:rPr>
              <w:t xml:space="preserve"> </w:t>
            </w:r>
            <w:r w:rsidRPr="00825B1F">
              <w:rPr>
                <w:sz w:val="22"/>
              </w:rPr>
              <w:t xml:space="preserve"> </w:t>
            </w:r>
            <w:r>
              <w:rPr>
                <w:sz w:val="22"/>
              </w:rPr>
              <w:t xml:space="preserve">    42,967</w:t>
            </w:r>
          </w:p>
        </w:tc>
      </w:tr>
    </w:tbl>
    <w:p w:rsidR="00690897" w:rsidRPr="00A3466A" w:rsidRDefault="00690897" w:rsidP="00690897">
      <w:pPr>
        <w:tabs>
          <w:tab w:val="left" w:pos="-720"/>
        </w:tabs>
        <w:suppressAutoHyphens/>
        <w:spacing w:after="240"/>
        <w:jc w:val="both"/>
        <w:rPr>
          <w:i/>
          <w:iCs/>
          <w:sz w:val="22"/>
        </w:rPr>
        <w:sectPr w:rsidR="00690897" w:rsidRPr="00A3466A" w:rsidSect="00831E1B">
          <w:headerReference w:type="even" r:id="rId17"/>
          <w:headerReference w:type="default" r:id="rId18"/>
          <w:headerReference w:type="first" r:id="rId19"/>
          <w:pgSz w:w="12240" w:h="15840"/>
          <w:pgMar w:top="2610" w:right="1080" w:bottom="1440" w:left="1080" w:header="720" w:footer="720" w:gutter="0"/>
          <w:cols w:space="720"/>
          <w:docGrid w:linePitch="299"/>
        </w:sectPr>
      </w:pPr>
      <w:r w:rsidRPr="00A3466A">
        <w:rPr>
          <w:i/>
          <w:iCs/>
          <w:sz w:val="22"/>
        </w:rPr>
        <w:t>.</w:t>
      </w:r>
    </w:p>
    <w:p w:rsidR="007E2935" w:rsidRDefault="007E2935" w:rsidP="00690897">
      <w:pPr>
        <w:tabs>
          <w:tab w:val="left" w:pos="-720"/>
        </w:tabs>
        <w:suppressAutoHyphens/>
        <w:spacing w:after="240"/>
        <w:jc w:val="both"/>
        <w:rPr>
          <w:b/>
          <w:iCs/>
          <w:sz w:val="22"/>
        </w:rPr>
      </w:pPr>
      <w:r>
        <w:rPr>
          <w:b/>
          <w:iCs/>
          <w:sz w:val="22"/>
        </w:rPr>
        <w:lastRenderedPageBreak/>
        <w:t>PART I.  FINANCIAL INFORMATION</w:t>
      </w:r>
    </w:p>
    <w:p w:rsidR="003B6BE8" w:rsidRDefault="003B6BE8" w:rsidP="00690897">
      <w:pPr>
        <w:tabs>
          <w:tab w:val="left" w:pos="-720"/>
        </w:tabs>
        <w:suppressAutoHyphens/>
        <w:spacing w:after="240"/>
        <w:jc w:val="both"/>
        <w:rPr>
          <w:b/>
          <w:iCs/>
          <w:sz w:val="22"/>
        </w:rPr>
      </w:pPr>
    </w:p>
    <w:p w:rsidR="007E2935" w:rsidRDefault="007E2935" w:rsidP="00690897">
      <w:pPr>
        <w:tabs>
          <w:tab w:val="left" w:pos="-720"/>
        </w:tabs>
        <w:suppressAutoHyphens/>
        <w:spacing w:after="240"/>
        <w:jc w:val="both"/>
        <w:rPr>
          <w:b/>
          <w:iCs/>
          <w:sz w:val="22"/>
        </w:rPr>
      </w:pPr>
      <w:r>
        <w:rPr>
          <w:b/>
          <w:iCs/>
          <w:sz w:val="22"/>
        </w:rPr>
        <w:t xml:space="preserve">Item 3.  </w:t>
      </w:r>
      <w:r w:rsidR="003B6BE8">
        <w:rPr>
          <w:b/>
          <w:iCs/>
          <w:sz w:val="22"/>
        </w:rPr>
        <w:tab/>
      </w:r>
      <w:r>
        <w:rPr>
          <w:b/>
          <w:iCs/>
          <w:sz w:val="22"/>
        </w:rPr>
        <w:t>Quantitative and Qualitative Disclosures about Market Risk</w:t>
      </w:r>
    </w:p>
    <w:p w:rsidR="007E2935" w:rsidRDefault="007E2935" w:rsidP="00690897">
      <w:pPr>
        <w:tabs>
          <w:tab w:val="left" w:pos="-720"/>
        </w:tabs>
        <w:suppressAutoHyphens/>
        <w:spacing w:after="240"/>
        <w:jc w:val="both"/>
        <w:rPr>
          <w:iCs/>
          <w:sz w:val="22"/>
        </w:rPr>
      </w:pPr>
      <w:r>
        <w:rPr>
          <w:b/>
          <w:iCs/>
          <w:sz w:val="22"/>
        </w:rPr>
        <w:tab/>
      </w:r>
      <w:r>
        <w:rPr>
          <w:iCs/>
          <w:sz w:val="22"/>
        </w:rPr>
        <w:t>There ha</w:t>
      </w:r>
      <w:r w:rsidR="004C6416">
        <w:rPr>
          <w:iCs/>
          <w:sz w:val="22"/>
        </w:rPr>
        <w:t>s</w:t>
      </w:r>
      <w:r>
        <w:rPr>
          <w:iCs/>
          <w:sz w:val="22"/>
        </w:rPr>
        <w:t xml:space="preserve"> been no material change to quantitative and qualitative disclosures about market risk from those disclosed in our 2013 Annual Report on Form 10-K.</w:t>
      </w:r>
    </w:p>
    <w:p w:rsidR="003B6BE8" w:rsidRDefault="003B6BE8" w:rsidP="00690897">
      <w:pPr>
        <w:tabs>
          <w:tab w:val="left" w:pos="-720"/>
        </w:tabs>
        <w:suppressAutoHyphens/>
        <w:spacing w:after="240"/>
        <w:jc w:val="both"/>
        <w:rPr>
          <w:iCs/>
          <w:sz w:val="22"/>
        </w:rPr>
      </w:pPr>
    </w:p>
    <w:p w:rsidR="007E2935" w:rsidRPr="007E2935" w:rsidRDefault="007E2935" w:rsidP="00690897">
      <w:pPr>
        <w:tabs>
          <w:tab w:val="left" w:pos="-720"/>
        </w:tabs>
        <w:suppressAutoHyphens/>
        <w:spacing w:after="240"/>
        <w:jc w:val="both"/>
        <w:rPr>
          <w:b/>
          <w:iCs/>
          <w:sz w:val="22"/>
        </w:rPr>
      </w:pPr>
      <w:r>
        <w:rPr>
          <w:b/>
          <w:iCs/>
          <w:sz w:val="22"/>
        </w:rPr>
        <w:t>Item 4</w:t>
      </w:r>
      <w:r w:rsidR="003B6BE8">
        <w:rPr>
          <w:b/>
          <w:iCs/>
          <w:sz w:val="22"/>
        </w:rPr>
        <w:t>.</w:t>
      </w:r>
      <w:r>
        <w:rPr>
          <w:b/>
          <w:iCs/>
          <w:sz w:val="22"/>
        </w:rPr>
        <w:t xml:space="preserve"> </w:t>
      </w:r>
      <w:r w:rsidR="003B6BE8">
        <w:rPr>
          <w:b/>
          <w:iCs/>
          <w:sz w:val="22"/>
        </w:rPr>
        <w:tab/>
      </w:r>
      <w:r w:rsidR="003B6BE8">
        <w:rPr>
          <w:b/>
          <w:iCs/>
          <w:sz w:val="22"/>
        </w:rPr>
        <w:tab/>
      </w:r>
      <w:r>
        <w:rPr>
          <w:b/>
          <w:iCs/>
          <w:sz w:val="22"/>
        </w:rPr>
        <w:t xml:space="preserve"> Disclosure Controls and Procedures</w:t>
      </w:r>
    </w:p>
    <w:p w:rsidR="00690897" w:rsidRPr="00EF0B13" w:rsidRDefault="00690897" w:rsidP="003F6CDE">
      <w:pPr>
        <w:numPr>
          <w:ilvl w:val="0"/>
          <w:numId w:val="48"/>
        </w:numPr>
        <w:tabs>
          <w:tab w:val="left" w:pos="-720"/>
        </w:tabs>
        <w:suppressAutoHyphens/>
        <w:spacing w:after="240"/>
        <w:jc w:val="both"/>
        <w:rPr>
          <w:iCs/>
          <w:sz w:val="22"/>
        </w:rPr>
      </w:pPr>
      <w:r w:rsidRPr="00EF0B13">
        <w:rPr>
          <w:i/>
          <w:iCs/>
          <w:sz w:val="22"/>
        </w:rPr>
        <w:t>Disclosure Controls and Procedures</w:t>
      </w:r>
      <w:r w:rsidRPr="00EF0B13">
        <w:rPr>
          <w:iCs/>
          <w:sz w:val="22"/>
        </w:rPr>
        <w:t>.</w:t>
      </w:r>
    </w:p>
    <w:p w:rsidR="00690897" w:rsidRPr="00EF0B13" w:rsidRDefault="00690897" w:rsidP="00690897">
      <w:pPr>
        <w:tabs>
          <w:tab w:val="left" w:pos="-720"/>
        </w:tabs>
        <w:suppressAutoHyphens/>
        <w:spacing w:after="240"/>
        <w:ind w:left="720"/>
        <w:jc w:val="both"/>
        <w:rPr>
          <w:iCs/>
          <w:sz w:val="22"/>
        </w:rPr>
      </w:pPr>
      <w:r w:rsidRPr="00EF0B13">
        <w:rPr>
          <w:iCs/>
          <w:sz w:val="22"/>
        </w:rPr>
        <w:t xml:space="preserve">The Company’s management, with the participation of the Company’s Chief Executive Officer and Chief Financial Officer, has evaluated the effectiveness of the Company’s disclosure controls and procedures (as such term is defined in Rules 13a-15(e) and 15d-15(e) under the Securities Exchange Act of 1934, as amended (the “Exchange Act”)) as of </w:t>
      </w:r>
      <w:r w:rsidR="0085650A" w:rsidRPr="00EF0B13">
        <w:rPr>
          <w:iCs/>
          <w:sz w:val="22"/>
        </w:rPr>
        <w:t>March</w:t>
      </w:r>
      <w:r w:rsidRPr="00EF0B13">
        <w:rPr>
          <w:iCs/>
          <w:sz w:val="22"/>
        </w:rPr>
        <w:t xml:space="preserve"> 3</w:t>
      </w:r>
      <w:r w:rsidR="0085650A" w:rsidRPr="00EF0B13">
        <w:rPr>
          <w:iCs/>
          <w:sz w:val="22"/>
        </w:rPr>
        <w:t>1</w:t>
      </w:r>
      <w:r w:rsidRPr="00EF0B13">
        <w:rPr>
          <w:iCs/>
          <w:sz w:val="22"/>
        </w:rPr>
        <w:t>, 201</w:t>
      </w:r>
      <w:r w:rsidR="0085650A" w:rsidRPr="00EF0B13">
        <w:rPr>
          <w:iCs/>
          <w:sz w:val="22"/>
        </w:rPr>
        <w:t>4</w:t>
      </w:r>
      <w:r w:rsidRPr="00EF0B13">
        <w:rPr>
          <w:iCs/>
          <w:sz w:val="22"/>
        </w:rPr>
        <w:t xml:space="preserve">.  Based on such evaluation, the Company’s Chief Executive Officer and Chief Financial Officer have concluded that, as of </w:t>
      </w:r>
      <w:r w:rsidR="0085650A" w:rsidRPr="00EF0B13">
        <w:rPr>
          <w:iCs/>
          <w:sz w:val="22"/>
        </w:rPr>
        <w:t>March</w:t>
      </w:r>
      <w:r w:rsidRPr="00EF0B13">
        <w:rPr>
          <w:iCs/>
          <w:sz w:val="22"/>
        </w:rPr>
        <w:t xml:space="preserve"> 3</w:t>
      </w:r>
      <w:r w:rsidR="0085650A" w:rsidRPr="00EF0B13">
        <w:rPr>
          <w:iCs/>
          <w:sz w:val="22"/>
        </w:rPr>
        <w:t>1</w:t>
      </w:r>
      <w:r w:rsidRPr="00EF0B13">
        <w:rPr>
          <w:iCs/>
          <w:sz w:val="22"/>
        </w:rPr>
        <w:t>, 201</w:t>
      </w:r>
      <w:r w:rsidR="0085650A" w:rsidRPr="00EF0B13">
        <w:rPr>
          <w:iCs/>
          <w:sz w:val="22"/>
        </w:rPr>
        <w:t>4</w:t>
      </w:r>
      <w:r w:rsidRPr="00EF0B13">
        <w:rPr>
          <w:iCs/>
          <w:sz w:val="22"/>
        </w:rPr>
        <w:t xml:space="preserve">, the Company’s disclosure controls and procedures </w:t>
      </w:r>
      <w:r w:rsidR="004C6416">
        <w:rPr>
          <w:iCs/>
          <w:sz w:val="22"/>
        </w:rPr>
        <w:t>were</w:t>
      </w:r>
      <w:r w:rsidRPr="00EF0B13">
        <w:rPr>
          <w:iCs/>
          <w:sz w:val="22"/>
        </w:rPr>
        <w:t xml:space="preserve"> effective at the reasonable assurance </w:t>
      </w:r>
      <w:r w:rsidR="00615844" w:rsidRPr="00EF0B13">
        <w:rPr>
          <w:iCs/>
          <w:sz w:val="22"/>
        </w:rPr>
        <w:t xml:space="preserve">that information we are required to disclose in reports that we file or submit under the Exchange Act is recorded, processed, summarized, and reported within the time periods specified in the SEC’s rules and forms, and that such information is accumulated and communicated to our management, including our </w:t>
      </w:r>
      <w:r w:rsidR="004C6416">
        <w:rPr>
          <w:iCs/>
          <w:sz w:val="22"/>
        </w:rPr>
        <w:t>C</w:t>
      </w:r>
      <w:r w:rsidR="00615844" w:rsidRPr="00EF0B13">
        <w:rPr>
          <w:iCs/>
          <w:sz w:val="22"/>
        </w:rPr>
        <w:t xml:space="preserve">hief </w:t>
      </w:r>
      <w:r w:rsidR="004C6416">
        <w:rPr>
          <w:iCs/>
          <w:sz w:val="22"/>
        </w:rPr>
        <w:t>E</w:t>
      </w:r>
      <w:r w:rsidR="00615844" w:rsidRPr="00EF0B13">
        <w:rPr>
          <w:iCs/>
          <w:sz w:val="22"/>
        </w:rPr>
        <w:t xml:space="preserve">xecutive </w:t>
      </w:r>
      <w:r w:rsidR="004C6416">
        <w:rPr>
          <w:iCs/>
          <w:sz w:val="22"/>
        </w:rPr>
        <w:t>O</w:t>
      </w:r>
      <w:r w:rsidR="00615844" w:rsidRPr="00EF0B13">
        <w:rPr>
          <w:iCs/>
          <w:sz w:val="22"/>
        </w:rPr>
        <w:t xml:space="preserve">fficer and </w:t>
      </w:r>
      <w:r w:rsidR="004C6416">
        <w:rPr>
          <w:iCs/>
          <w:sz w:val="22"/>
        </w:rPr>
        <w:t>C</w:t>
      </w:r>
      <w:r w:rsidR="00615844" w:rsidRPr="00EF0B13">
        <w:rPr>
          <w:iCs/>
          <w:sz w:val="22"/>
        </w:rPr>
        <w:t xml:space="preserve">hief </w:t>
      </w:r>
      <w:r w:rsidR="004C6416">
        <w:rPr>
          <w:iCs/>
          <w:sz w:val="22"/>
        </w:rPr>
        <w:t>F</w:t>
      </w:r>
      <w:r w:rsidR="00615844" w:rsidRPr="00EF0B13">
        <w:rPr>
          <w:iCs/>
          <w:sz w:val="22"/>
        </w:rPr>
        <w:t xml:space="preserve">inancial </w:t>
      </w:r>
      <w:r w:rsidR="004C6416">
        <w:rPr>
          <w:iCs/>
          <w:sz w:val="22"/>
        </w:rPr>
        <w:t>O</w:t>
      </w:r>
      <w:r w:rsidR="00615844" w:rsidRPr="00EF0B13">
        <w:rPr>
          <w:iCs/>
          <w:sz w:val="22"/>
        </w:rPr>
        <w:t>fficer, as appropriate, to allow timely decisions regarding required disclosure</w:t>
      </w:r>
      <w:r w:rsidRPr="00EF0B13">
        <w:rPr>
          <w:iCs/>
          <w:sz w:val="22"/>
        </w:rPr>
        <w:t>.</w:t>
      </w:r>
    </w:p>
    <w:p w:rsidR="00690897" w:rsidRPr="00EF0B13" w:rsidRDefault="003F6CDE" w:rsidP="003F6CDE">
      <w:pPr>
        <w:tabs>
          <w:tab w:val="left" w:pos="-720"/>
        </w:tabs>
        <w:suppressAutoHyphens/>
        <w:spacing w:after="240"/>
        <w:ind w:left="360"/>
        <w:jc w:val="both"/>
        <w:rPr>
          <w:i/>
          <w:iCs/>
          <w:sz w:val="22"/>
        </w:rPr>
      </w:pPr>
      <w:r w:rsidRPr="00EF0B13">
        <w:rPr>
          <w:i/>
          <w:iCs/>
          <w:sz w:val="22"/>
        </w:rPr>
        <w:t>(b)</w:t>
      </w:r>
      <w:r w:rsidR="00690897" w:rsidRPr="00EF0B13">
        <w:rPr>
          <w:i/>
          <w:iCs/>
          <w:sz w:val="22"/>
        </w:rPr>
        <w:t xml:space="preserve"> Changes in Internal Control Over Financial Reporting.</w:t>
      </w:r>
    </w:p>
    <w:p w:rsidR="00EF0B13" w:rsidRDefault="00690897" w:rsidP="00EF0B13">
      <w:pPr>
        <w:tabs>
          <w:tab w:val="left" w:pos="-720"/>
        </w:tabs>
        <w:suppressAutoHyphens/>
        <w:spacing w:after="240"/>
        <w:ind w:left="720"/>
        <w:jc w:val="both"/>
        <w:rPr>
          <w:iCs/>
          <w:sz w:val="22"/>
        </w:rPr>
        <w:sectPr w:rsidR="00EF0B13" w:rsidSect="007E2935">
          <w:headerReference w:type="even" r:id="rId20"/>
          <w:headerReference w:type="default" r:id="rId21"/>
          <w:headerReference w:type="first" r:id="rId22"/>
          <w:pgSz w:w="12240" w:h="15840"/>
          <w:pgMar w:top="990" w:right="1080" w:bottom="1080" w:left="1080" w:header="720" w:footer="720" w:gutter="0"/>
          <w:cols w:space="720"/>
          <w:docGrid w:linePitch="299"/>
        </w:sectPr>
      </w:pPr>
      <w:r w:rsidRPr="00EF0B13">
        <w:rPr>
          <w:iCs/>
          <w:sz w:val="22"/>
        </w:rPr>
        <w:t>There have not been any changes in the Company’s internal control over financial reporting (as such term is defined in Rules 13a-15(f) and 15d-15(f) under the Exchange Act) during the fiscal quarter to which this report relates that have materially affected, or are reasonably likely to materially affect, the Company’s internal control over financial reporting.</w:t>
      </w:r>
    </w:p>
    <w:p w:rsidR="00690897" w:rsidRPr="00386826" w:rsidRDefault="00690897" w:rsidP="0048202E">
      <w:pPr>
        <w:tabs>
          <w:tab w:val="left" w:pos="-720"/>
        </w:tabs>
        <w:suppressAutoHyphens/>
        <w:spacing w:after="240"/>
        <w:jc w:val="both"/>
        <w:rPr>
          <w:b/>
          <w:iCs/>
          <w:sz w:val="22"/>
        </w:rPr>
      </w:pPr>
      <w:r w:rsidRPr="00386826">
        <w:rPr>
          <w:b/>
          <w:iCs/>
          <w:sz w:val="22"/>
        </w:rPr>
        <w:lastRenderedPageBreak/>
        <w:t>Item 1.</w:t>
      </w:r>
      <w:r w:rsidRPr="00386826">
        <w:rPr>
          <w:b/>
          <w:iCs/>
          <w:sz w:val="22"/>
        </w:rPr>
        <w:tab/>
      </w:r>
      <w:r w:rsidRPr="00386826">
        <w:rPr>
          <w:b/>
          <w:iCs/>
          <w:sz w:val="22"/>
        </w:rPr>
        <w:tab/>
        <w:t>Legal Proceedings</w:t>
      </w:r>
    </w:p>
    <w:p w:rsidR="00690897" w:rsidRPr="00386826" w:rsidRDefault="00690897" w:rsidP="008932CD">
      <w:pPr>
        <w:tabs>
          <w:tab w:val="left" w:pos="-720"/>
        </w:tabs>
        <w:suppressAutoHyphens/>
        <w:spacing w:after="240"/>
        <w:jc w:val="both"/>
        <w:rPr>
          <w:iCs/>
          <w:sz w:val="22"/>
        </w:rPr>
      </w:pPr>
      <w:r w:rsidRPr="00386826">
        <w:rPr>
          <w:b/>
          <w:iCs/>
          <w:sz w:val="22"/>
        </w:rPr>
        <w:tab/>
      </w:r>
      <w:r w:rsidR="003B5138" w:rsidRPr="00386826">
        <w:rPr>
          <w:color w:val="000000"/>
          <w:sz w:val="22"/>
          <w:shd w:val="clear" w:color="auto" w:fill="FFFFFF"/>
        </w:rPr>
        <w:t>From time to time, we are involved in litigation relating to claims arising out of the normal course of business. As of the date hereof, the Company is involved in no litigation that the Company believes will have a material adverse effect on its consolidated financial condition, results of operation, or liquidity.</w:t>
      </w:r>
      <w:r w:rsidRPr="00386826">
        <w:rPr>
          <w:iCs/>
          <w:sz w:val="22"/>
        </w:rPr>
        <w:t xml:space="preserve"> </w:t>
      </w:r>
    </w:p>
    <w:p w:rsidR="00822B62" w:rsidRPr="00386826" w:rsidRDefault="00690897" w:rsidP="00822B62">
      <w:pPr>
        <w:tabs>
          <w:tab w:val="left" w:pos="-720"/>
        </w:tabs>
        <w:suppressAutoHyphens/>
        <w:spacing w:after="240"/>
        <w:jc w:val="both"/>
        <w:rPr>
          <w:b/>
          <w:iCs/>
          <w:sz w:val="22"/>
        </w:rPr>
      </w:pPr>
      <w:r w:rsidRPr="00386826">
        <w:rPr>
          <w:b/>
          <w:iCs/>
          <w:sz w:val="22"/>
        </w:rPr>
        <w:t>Item 1A.</w:t>
      </w:r>
      <w:r w:rsidRPr="00386826">
        <w:rPr>
          <w:b/>
          <w:iCs/>
          <w:sz w:val="22"/>
        </w:rPr>
        <w:tab/>
        <w:t>Risk Factors</w:t>
      </w:r>
    </w:p>
    <w:p w:rsidR="00690897" w:rsidRPr="00386826" w:rsidRDefault="00386826" w:rsidP="0048202E">
      <w:pPr>
        <w:tabs>
          <w:tab w:val="left" w:pos="-720"/>
        </w:tabs>
        <w:suppressAutoHyphens/>
        <w:spacing w:after="240"/>
        <w:jc w:val="both"/>
        <w:rPr>
          <w:bCs/>
          <w:sz w:val="22"/>
          <w:highlight w:val="yellow"/>
        </w:rPr>
      </w:pPr>
      <w:r>
        <w:rPr>
          <w:bCs/>
          <w:sz w:val="22"/>
        </w:rPr>
        <w:tab/>
        <w:t>In addition to the information set forth in this Form 10-Q, you should carefully consider the information set forth in Part I, Item 1A, “Risk Factors” in our Annual Report on Form 10-K for the year ended December 31, 2013.  As of the date of this Form 10-Q, there have been no significant changes from the risk factors previously disclosed therein.</w:t>
      </w:r>
      <w:bookmarkStart w:id="3" w:name="_DV_M823"/>
      <w:bookmarkStart w:id="4" w:name="_DV_M824"/>
      <w:bookmarkStart w:id="5" w:name="_DV_M825"/>
      <w:bookmarkStart w:id="6" w:name="_DV_M827"/>
      <w:bookmarkStart w:id="7" w:name="_DV_M828"/>
      <w:bookmarkStart w:id="8" w:name="_DV_M829"/>
      <w:bookmarkStart w:id="9" w:name="_DV_M830"/>
      <w:bookmarkStart w:id="10" w:name="_DV_M831"/>
      <w:bookmarkStart w:id="11" w:name="_DV_M832"/>
      <w:bookmarkStart w:id="12" w:name="_DV_M833"/>
      <w:bookmarkStart w:id="13" w:name="_DV_M834"/>
      <w:bookmarkStart w:id="14" w:name="_DV_M835"/>
      <w:bookmarkStart w:id="15" w:name="_DV_M836"/>
      <w:bookmarkStart w:id="16" w:name="_DV_M838"/>
      <w:bookmarkStart w:id="17" w:name="_DV_M83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90897" w:rsidRPr="00386826" w:rsidRDefault="00690897" w:rsidP="00690897">
      <w:pPr>
        <w:tabs>
          <w:tab w:val="left" w:pos="-720"/>
        </w:tabs>
        <w:suppressAutoHyphens/>
        <w:spacing w:after="240"/>
        <w:jc w:val="both"/>
        <w:rPr>
          <w:b/>
          <w:iCs/>
          <w:sz w:val="22"/>
        </w:rPr>
      </w:pPr>
      <w:r w:rsidRPr="00386826">
        <w:rPr>
          <w:b/>
          <w:iCs/>
          <w:sz w:val="22"/>
        </w:rPr>
        <w:t>Item 2.</w:t>
      </w:r>
      <w:r w:rsidRPr="00386826">
        <w:rPr>
          <w:b/>
          <w:iCs/>
          <w:sz w:val="22"/>
        </w:rPr>
        <w:tab/>
      </w:r>
      <w:r w:rsidRPr="00386826">
        <w:rPr>
          <w:b/>
          <w:iCs/>
          <w:sz w:val="22"/>
        </w:rPr>
        <w:tab/>
        <w:t>Unregistered Sales of Equity Securities and Use of Proceeds</w:t>
      </w:r>
    </w:p>
    <w:p w:rsidR="00690897" w:rsidRPr="00386826" w:rsidRDefault="00690897" w:rsidP="00690897">
      <w:pPr>
        <w:tabs>
          <w:tab w:val="left" w:pos="-720"/>
        </w:tabs>
        <w:suppressAutoHyphens/>
        <w:spacing w:after="240"/>
        <w:jc w:val="both"/>
        <w:rPr>
          <w:iCs/>
          <w:sz w:val="22"/>
        </w:rPr>
      </w:pPr>
      <w:r w:rsidRPr="00386826">
        <w:rPr>
          <w:b/>
          <w:iCs/>
          <w:sz w:val="22"/>
        </w:rPr>
        <w:tab/>
      </w:r>
      <w:r w:rsidRPr="00386826">
        <w:rPr>
          <w:b/>
          <w:iCs/>
          <w:sz w:val="22"/>
        </w:rPr>
        <w:tab/>
      </w:r>
      <w:r w:rsidRPr="00386826">
        <w:rPr>
          <w:iCs/>
          <w:sz w:val="22"/>
        </w:rPr>
        <w:t xml:space="preserve">NONE  </w:t>
      </w:r>
    </w:p>
    <w:p w:rsidR="00690897" w:rsidRPr="00386826" w:rsidRDefault="00690897" w:rsidP="00690897">
      <w:pPr>
        <w:tabs>
          <w:tab w:val="left" w:pos="-720"/>
        </w:tabs>
        <w:suppressAutoHyphens/>
        <w:spacing w:after="240"/>
        <w:jc w:val="both"/>
        <w:rPr>
          <w:b/>
          <w:iCs/>
          <w:sz w:val="22"/>
        </w:rPr>
      </w:pPr>
      <w:r w:rsidRPr="00386826">
        <w:rPr>
          <w:b/>
          <w:iCs/>
          <w:sz w:val="22"/>
        </w:rPr>
        <w:t>Item 3.</w:t>
      </w:r>
      <w:r w:rsidRPr="00386826">
        <w:rPr>
          <w:b/>
          <w:iCs/>
          <w:sz w:val="22"/>
        </w:rPr>
        <w:tab/>
        <w:t xml:space="preserve"> </w:t>
      </w:r>
      <w:r w:rsidRPr="00386826">
        <w:rPr>
          <w:b/>
          <w:iCs/>
          <w:sz w:val="22"/>
        </w:rPr>
        <w:tab/>
        <w:t>Defaults Upon Senior Securities</w:t>
      </w:r>
    </w:p>
    <w:p w:rsidR="00690897" w:rsidRPr="00386826" w:rsidRDefault="00690897" w:rsidP="00690897">
      <w:pPr>
        <w:tabs>
          <w:tab w:val="left" w:pos="-720"/>
        </w:tabs>
        <w:suppressAutoHyphens/>
        <w:spacing w:after="240"/>
        <w:jc w:val="both"/>
        <w:rPr>
          <w:iCs/>
          <w:sz w:val="22"/>
        </w:rPr>
      </w:pPr>
      <w:r w:rsidRPr="00386826">
        <w:rPr>
          <w:b/>
          <w:iCs/>
          <w:sz w:val="22"/>
        </w:rPr>
        <w:tab/>
      </w:r>
      <w:r w:rsidRPr="00386826">
        <w:rPr>
          <w:b/>
          <w:iCs/>
          <w:sz w:val="22"/>
        </w:rPr>
        <w:tab/>
      </w:r>
      <w:r w:rsidRPr="00386826">
        <w:rPr>
          <w:iCs/>
          <w:sz w:val="22"/>
        </w:rPr>
        <w:t xml:space="preserve">NONE  </w:t>
      </w:r>
    </w:p>
    <w:p w:rsidR="00690897" w:rsidRPr="00386826" w:rsidRDefault="00690897" w:rsidP="00690897">
      <w:pPr>
        <w:tabs>
          <w:tab w:val="left" w:pos="-720"/>
        </w:tabs>
        <w:suppressAutoHyphens/>
        <w:spacing w:after="240"/>
        <w:jc w:val="both"/>
        <w:rPr>
          <w:b/>
          <w:iCs/>
          <w:sz w:val="22"/>
        </w:rPr>
      </w:pPr>
      <w:r w:rsidRPr="00386826">
        <w:rPr>
          <w:b/>
          <w:iCs/>
          <w:sz w:val="22"/>
        </w:rPr>
        <w:t>Item 4.</w:t>
      </w:r>
      <w:r w:rsidRPr="00386826">
        <w:rPr>
          <w:b/>
          <w:iCs/>
          <w:sz w:val="22"/>
        </w:rPr>
        <w:tab/>
      </w:r>
      <w:r w:rsidRPr="00386826">
        <w:rPr>
          <w:b/>
          <w:iCs/>
          <w:sz w:val="22"/>
        </w:rPr>
        <w:tab/>
        <w:t>Mine Safety Disclosures</w:t>
      </w:r>
    </w:p>
    <w:p w:rsidR="00690897" w:rsidRPr="00386826" w:rsidRDefault="00690897" w:rsidP="00690897">
      <w:pPr>
        <w:tabs>
          <w:tab w:val="left" w:pos="-720"/>
        </w:tabs>
        <w:suppressAutoHyphens/>
        <w:spacing w:after="240"/>
        <w:jc w:val="both"/>
        <w:rPr>
          <w:iCs/>
          <w:sz w:val="22"/>
        </w:rPr>
      </w:pPr>
      <w:r w:rsidRPr="00386826">
        <w:rPr>
          <w:b/>
          <w:iCs/>
          <w:sz w:val="22"/>
        </w:rPr>
        <w:tab/>
      </w:r>
      <w:r w:rsidRPr="00386826">
        <w:rPr>
          <w:b/>
          <w:iCs/>
          <w:sz w:val="22"/>
        </w:rPr>
        <w:tab/>
      </w:r>
      <w:r w:rsidR="000E3878" w:rsidRPr="00386826">
        <w:rPr>
          <w:iCs/>
          <w:sz w:val="22"/>
        </w:rPr>
        <w:t xml:space="preserve">Not applicable.  </w:t>
      </w:r>
    </w:p>
    <w:p w:rsidR="00690897" w:rsidRPr="00386826" w:rsidRDefault="00690897" w:rsidP="00690897">
      <w:pPr>
        <w:tabs>
          <w:tab w:val="left" w:pos="-720"/>
        </w:tabs>
        <w:suppressAutoHyphens/>
        <w:spacing w:after="240"/>
        <w:jc w:val="both"/>
        <w:rPr>
          <w:b/>
          <w:iCs/>
          <w:sz w:val="22"/>
        </w:rPr>
      </w:pPr>
      <w:r w:rsidRPr="00386826">
        <w:rPr>
          <w:b/>
          <w:iCs/>
          <w:sz w:val="22"/>
        </w:rPr>
        <w:t>Item 5.</w:t>
      </w:r>
      <w:r w:rsidRPr="00386826">
        <w:rPr>
          <w:b/>
          <w:iCs/>
          <w:sz w:val="22"/>
        </w:rPr>
        <w:tab/>
      </w:r>
      <w:r w:rsidRPr="00386826">
        <w:rPr>
          <w:b/>
          <w:iCs/>
          <w:sz w:val="22"/>
        </w:rPr>
        <w:tab/>
        <w:t>Other Information</w:t>
      </w:r>
    </w:p>
    <w:p w:rsidR="00690897" w:rsidRPr="00386826" w:rsidRDefault="00690897" w:rsidP="00690897">
      <w:pPr>
        <w:tabs>
          <w:tab w:val="left" w:pos="-720"/>
        </w:tabs>
        <w:suppressAutoHyphens/>
        <w:spacing w:after="240"/>
        <w:jc w:val="both"/>
        <w:rPr>
          <w:iCs/>
          <w:sz w:val="22"/>
        </w:rPr>
      </w:pPr>
      <w:r w:rsidRPr="00386826">
        <w:rPr>
          <w:b/>
          <w:iCs/>
          <w:sz w:val="22"/>
        </w:rPr>
        <w:tab/>
      </w:r>
      <w:r w:rsidRPr="00386826">
        <w:rPr>
          <w:b/>
          <w:iCs/>
          <w:sz w:val="22"/>
        </w:rPr>
        <w:tab/>
      </w:r>
      <w:r w:rsidRPr="00386826">
        <w:rPr>
          <w:iCs/>
          <w:sz w:val="22"/>
        </w:rPr>
        <w:t xml:space="preserve">NONE  </w:t>
      </w:r>
    </w:p>
    <w:p w:rsidR="00690897" w:rsidRPr="0053635E" w:rsidRDefault="00690897" w:rsidP="00690897">
      <w:pPr>
        <w:tabs>
          <w:tab w:val="left" w:pos="-720"/>
        </w:tabs>
        <w:suppressAutoHyphens/>
        <w:spacing w:after="240"/>
        <w:jc w:val="both"/>
        <w:rPr>
          <w:iCs/>
          <w:sz w:val="22"/>
          <w:highlight w:val="yellow"/>
        </w:rPr>
      </w:pPr>
    </w:p>
    <w:p w:rsidR="00690897" w:rsidRPr="0053635E" w:rsidRDefault="00690897" w:rsidP="00690897">
      <w:pPr>
        <w:tabs>
          <w:tab w:val="left" w:pos="-720"/>
        </w:tabs>
        <w:suppressAutoHyphens/>
        <w:spacing w:after="240"/>
        <w:jc w:val="both"/>
        <w:rPr>
          <w:iCs/>
          <w:sz w:val="22"/>
          <w:highlight w:val="yellow"/>
        </w:rPr>
      </w:pPr>
    </w:p>
    <w:p w:rsidR="00690897" w:rsidRPr="0053635E" w:rsidRDefault="00690897" w:rsidP="00690897">
      <w:pPr>
        <w:tabs>
          <w:tab w:val="left" w:pos="-720"/>
        </w:tabs>
        <w:suppressAutoHyphens/>
        <w:spacing w:after="240"/>
        <w:jc w:val="both"/>
        <w:rPr>
          <w:iCs/>
          <w:sz w:val="22"/>
          <w:highlight w:val="yellow"/>
        </w:rPr>
      </w:pPr>
    </w:p>
    <w:p w:rsidR="00690897" w:rsidRPr="0053635E" w:rsidRDefault="00690897" w:rsidP="00690897">
      <w:pPr>
        <w:tabs>
          <w:tab w:val="left" w:pos="-720"/>
        </w:tabs>
        <w:suppressAutoHyphens/>
        <w:spacing w:after="240"/>
        <w:jc w:val="both"/>
        <w:rPr>
          <w:iCs/>
          <w:sz w:val="22"/>
          <w:highlight w:val="yellow"/>
        </w:rPr>
      </w:pPr>
    </w:p>
    <w:p w:rsidR="00690897" w:rsidRPr="0053635E" w:rsidRDefault="00690897" w:rsidP="00690897">
      <w:pPr>
        <w:tabs>
          <w:tab w:val="left" w:pos="-720"/>
        </w:tabs>
        <w:suppressAutoHyphens/>
        <w:spacing w:after="240"/>
        <w:jc w:val="both"/>
        <w:rPr>
          <w:iCs/>
          <w:sz w:val="22"/>
          <w:highlight w:val="yellow"/>
        </w:rPr>
      </w:pPr>
    </w:p>
    <w:p w:rsidR="00690897" w:rsidRPr="0053635E" w:rsidRDefault="00690897" w:rsidP="00690897">
      <w:pPr>
        <w:tabs>
          <w:tab w:val="left" w:pos="-720"/>
        </w:tabs>
        <w:suppressAutoHyphens/>
        <w:spacing w:after="240"/>
        <w:jc w:val="both"/>
        <w:rPr>
          <w:iCs/>
          <w:sz w:val="22"/>
          <w:highlight w:val="yellow"/>
        </w:rPr>
      </w:pPr>
    </w:p>
    <w:p w:rsidR="00690897" w:rsidRPr="0053635E" w:rsidRDefault="00690897" w:rsidP="00690897">
      <w:pPr>
        <w:tabs>
          <w:tab w:val="left" w:pos="-720"/>
        </w:tabs>
        <w:suppressAutoHyphens/>
        <w:spacing w:after="240"/>
        <w:jc w:val="both"/>
        <w:rPr>
          <w:iCs/>
          <w:sz w:val="22"/>
          <w:highlight w:val="yellow"/>
        </w:rPr>
      </w:pPr>
    </w:p>
    <w:p w:rsidR="00690897" w:rsidRPr="0053635E" w:rsidRDefault="00690897" w:rsidP="00690897">
      <w:pPr>
        <w:tabs>
          <w:tab w:val="left" w:pos="-720"/>
        </w:tabs>
        <w:suppressAutoHyphens/>
        <w:spacing w:after="240"/>
        <w:jc w:val="both"/>
        <w:rPr>
          <w:iCs/>
          <w:sz w:val="22"/>
          <w:highlight w:val="yellow"/>
        </w:rPr>
      </w:pPr>
    </w:p>
    <w:p w:rsidR="00690897" w:rsidRPr="0053635E" w:rsidRDefault="00690897" w:rsidP="00690897">
      <w:pPr>
        <w:tabs>
          <w:tab w:val="left" w:pos="-720"/>
        </w:tabs>
        <w:suppressAutoHyphens/>
        <w:spacing w:after="240"/>
        <w:jc w:val="both"/>
        <w:rPr>
          <w:iCs/>
          <w:sz w:val="22"/>
          <w:highlight w:val="yellow"/>
        </w:rPr>
      </w:pPr>
    </w:p>
    <w:p w:rsidR="00690897" w:rsidRPr="0053635E" w:rsidRDefault="00690897" w:rsidP="00690897">
      <w:pPr>
        <w:tabs>
          <w:tab w:val="left" w:pos="-720"/>
        </w:tabs>
        <w:suppressAutoHyphens/>
        <w:spacing w:after="240"/>
        <w:jc w:val="both"/>
        <w:rPr>
          <w:iCs/>
          <w:sz w:val="22"/>
          <w:highlight w:val="yellow"/>
        </w:rPr>
      </w:pPr>
    </w:p>
    <w:p w:rsidR="00690897" w:rsidRPr="0053635E" w:rsidRDefault="00690897" w:rsidP="00690897">
      <w:pPr>
        <w:tabs>
          <w:tab w:val="left" w:pos="-720"/>
        </w:tabs>
        <w:suppressAutoHyphens/>
        <w:spacing w:after="240"/>
        <w:jc w:val="both"/>
        <w:rPr>
          <w:iCs/>
          <w:sz w:val="22"/>
          <w:highlight w:val="yellow"/>
        </w:rPr>
      </w:pPr>
    </w:p>
    <w:p w:rsidR="00690897" w:rsidRDefault="00690897" w:rsidP="00690897">
      <w:pPr>
        <w:tabs>
          <w:tab w:val="left" w:pos="-720"/>
        </w:tabs>
        <w:suppressAutoHyphens/>
        <w:spacing w:after="240"/>
        <w:jc w:val="both"/>
        <w:rPr>
          <w:b/>
          <w:iCs/>
          <w:sz w:val="22"/>
        </w:rPr>
      </w:pPr>
      <w:r w:rsidRPr="00C1618F">
        <w:rPr>
          <w:b/>
          <w:iCs/>
          <w:sz w:val="22"/>
        </w:rPr>
        <w:lastRenderedPageBreak/>
        <w:t>Item 6.</w:t>
      </w:r>
      <w:r w:rsidRPr="00C1618F">
        <w:rPr>
          <w:b/>
          <w:iCs/>
          <w:sz w:val="22"/>
        </w:rPr>
        <w:tab/>
      </w:r>
      <w:r w:rsidRPr="00C1618F">
        <w:rPr>
          <w:b/>
          <w:iCs/>
          <w:sz w:val="22"/>
        </w:rPr>
        <w:tab/>
        <w:t>Exhibits</w:t>
      </w:r>
    </w:p>
    <w:p w:rsidR="000027F1" w:rsidRPr="00C1618F" w:rsidRDefault="000027F1" w:rsidP="00690897">
      <w:pPr>
        <w:tabs>
          <w:tab w:val="left" w:pos="-720"/>
        </w:tabs>
        <w:suppressAutoHyphens/>
        <w:spacing w:after="240"/>
        <w:jc w:val="both"/>
        <w:rPr>
          <w:b/>
          <w:iCs/>
          <w:sz w:val="22"/>
        </w:rPr>
      </w:pPr>
    </w:p>
    <w:tbl>
      <w:tblPr>
        <w:tblW w:w="4718" w:type="pct"/>
        <w:jc w:val="center"/>
        <w:tblInd w:w="-618" w:type="dxa"/>
        <w:tblCellMar>
          <w:left w:w="72" w:type="dxa"/>
          <w:right w:w="72" w:type="dxa"/>
        </w:tblCellMar>
        <w:tblLook w:val="0000" w:firstRow="0" w:lastRow="0" w:firstColumn="0" w:lastColumn="0" w:noHBand="0" w:noVBand="0"/>
      </w:tblPr>
      <w:tblGrid>
        <w:gridCol w:w="1490"/>
        <w:gridCol w:w="6668"/>
        <w:gridCol w:w="1489"/>
      </w:tblGrid>
      <w:tr w:rsidR="00B06453" w:rsidRPr="00C1618F" w:rsidTr="00C44DEB">
        <w:trPr>
          <w:cantSplit/>
          <w:jc w:val="center"/>
        </w:trPr>
        <w:tc>
          <w:tcPr>
            <w:tcW w:w="772" w:type="pct"/>
            <w:tcBorders>
              <w:top w:val="nil"/>
              <w:left w:val="nil"/>
              <w:right w:val="nil"/>
            </w:tcBorders>
            <w:vAlign w:val="bottom"/>
          </w:tcPr>
          <w:p w:rsidR="00B06453" w:rsidRPr="00C1618F" w:rsidRDefault="00B06453"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rPr>
            </w:pPr>
          </w:p>
        </w:tc>
        <w:tc>
          <w:tcPr>
            <w:tcW w:w="4228" w:type="pct"/>
            <w:gridSpan w:val="2"/>
            <w:tcBorders>
              <w:top w:val="nil"/>
              <w:left w:val="nil"/>
              <w:right w:val="nil"/>
            </w:tcBorders>
          </w:tcPr>
          <w:p w:rsidR="00B06453" w:rsidRPr="00C1618F" w:rsidRDefault="00B06453" w:rsidP="00C44DEB">
            <w:pPr>
              <w:tabs>
                <w:tab w:val="right" w:leader="dot" w:pos="7001"/>
              </w:tabs>
              <w:suppressAutoHyphens/>
              <w:ind w:left="200" w:hanging="200"/>
              <w:rPr>
                <w:sz w:val="22"/>
              </w:rPr>
            </w:pPr>
          </w:p>
        </w:tc>
      </w:tr>
      <w:tr w:rsidR="00B06453" w:rsidRPr="0053635E" w:rsidTr="00C44DEB">
        <w:trPr>
          <w:cantSplit/>
          <w:jc w:val="center"/>
        </w:trPr>
        <w:tc>
          <w:tcPr>
            <w:tcW w:w="772" w:type="pct"/>
            <w:tcBorders>
              <w:top w:val="nil"/>
              <w:left w:val="nil"/>
              <w:bottom w:val="thinThickSmallGap" w:sz="24" w:space="0" w:color="auto"/>
              <w:right w:val="nil"/>
            </w:tcBorders>
            <w:vAlign w:val="bottom"/>
          </w:tcPr>
          <w:p w:rsidR="00B06453" w:rsidRPr="00C1618F" w:rsidRDefault="00B06453"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C1618F">
              <w:rPr>
                <w:b/>
                <w:sz w:val="22"/>
              </w:rPr>
              <w:t>Exhibit No.</w:t>
            </w:r>
          </w:p>
        </w:tc>
        <w:tc>
          <w:tcPr>
            <w:tcW w:w="4228" w:type="pct"/>
            <w:gridSpan w:val="2"/>
            <w:tcBorders>
              <w:top w:val="nil"/>
              <w:left w:val="nil"/>
              <w:bottom w:val="thinThickSmallGap" w:sz="24" w:space="0" w:color="auto"/>
              <w:right w:val="nil"/>
            </w:tcBorders>
          </w:tcPr>
          <w:p w:rsidR="00B06453" w:rsidRPr="00C1618F" w:rsidRDefault="00B06453" w:rsidP="00C44DEB">
            <w:pPr>
              <w:tabs>
                <w:tab w:val="right" w:leader="dot" w:pos="7001"/>
              </w:tabs>
              <w:suppressAutoHyphens/>
              <w:ind w:left="200" w:hanging="200"/>
              <w:jc w:val="center"/>
              <w:rPr>
                <w:b/>
                <w:sz w:val="22"/>
              </w:rPr>
            </w:pPr>
            <w:r w:rsidRPr="00C1618F">
              <w:rPr>
                <w:b/>
                <w:sz w:val="22"/>
              </w:rPr>
              <w:t>Description</w:t>
            </w:r>
          </w:p>
        </w:tc>
      </w:tr>
      <w:tr w:rsidR="00B06453" w:rsidRPr="0053635E" w:rsidTr="00C44DEB">
        <w:trPr>
          <w:cantSplit/>
          <w:jc w:val="center"/>
        </w:trPr>
        <w:tc>
          <w:tcPr>
            <w:tcW w:w="772" w:type="pct"/>
            <w:tcBorders>
              <w:top w:val="thinThickSmallGap" w:sz="24" w:space="0" w:color="auto"/>
              <w:left w:val="nil"/>
              <w:bottom w:val="nil"/>
              <w:right w:val="nil"/>
            </w:tcBorders>
            <w:vAlign w:val="bottom"/>
          </w:tcPr>
          <w:p w:rsidR="00B06453" w:rsidRPr="0053635E" w:rsidRDefault="00B06453"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right"/>
              <w:rPr>
                <w:sz w:val="22"/>
                <w:highlight w:val="yellow"/>
              </w:rPr>
            </w:pPr>
          </w:p>
        </w:tc>
        <w:tc>
          <w:tcPr>
            <w:tcW w:w="4228" w:type="pct"/>
            <w:gridSpan w:val="2"/>
            <w:tcBorders>
              <w:top w:val="thinThickSmallGap" w:sz="24" w:space="0" w:color="auto"/>
              <w:left w:val="nil"/>
              <w:bottom w:val="nil"/>
              <w:right w:val="nil"/>
            </w:tcBorders>
          </w:tcPr>
          <w:p w:rsidR="00B06453" w:rsidRPr="0053635E" w:rsidRDefault="00B06453" w:rsidP="00C44DEB">
            <w:pPr>
              <w:tabs>
                <w:tab w:val="right" w:leader="dot" w:pos="7001"/>
              </w:tabs>
              <w:suppressAutoHyphens/>
              <w:ind w:left="200" w:hanging="200"/>
              <w:rPr>
                <w:sz w:val="22"/>
                <w:highlight w:val="yellow"/>
              </w:rPr>
            </w:pPr>
          </w:p>
        </w:tc>
      </w:tr>
      <w:tr w:rsidR="00B06453" w:rsidRPr="0053635E" w:rsidTr="00C44DEB">
        <w:trPr>
          <w:cantSplit/>
          <w:jc w:val="center"/>
        </w:trPr>
        <w:tc>
          <w:tcPr>
            <w:tcW w:w="772" w:type="pct"/>
            <w:tcBorders>
              <w:top w:val="nil"/>
              <w:left w:val="nil"/>
              <w:bottom w:val="nil"/>
              <w:right w:val="nil"/>
            </w:tcBorders>
          </w:tcPr>
          <w:p w:rsidR="00B06453" w:rsidRPr="0053635E" w:rsidRDefault="00B06453"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highlight w:val="yellow"/>
              </w:rPr>
            </w:pPr>
          </w:p>
        </w:tc>
        <w:tc>
          <w:tcPr>
            <w:tcW w:w="4228" w:type="pct"/>
            <w:gridSpan w:val="2"/>
            <w:tcBorders>
              <w:top w:val="nil"/>
              <w:left w:val="nil"/>
              <w:bottom w:val="nil"/>
              <w:right w:val="nil"/>
            </w:tcBorders>
          </w:tcPr>
          <w:p w:rsidR="00B06453" w:rsidRPr="0053635E" w:rsidRDefault="00B06453" w:rsidP="00C44DEB">
            <w:pPr>
              <w:tabs>
                <w:tab w:val="right" w:leader="dot" w:pos="255"/>
              </w:tabs>
              <w:suppressAutoHyphens/>
              <w:ind w:left="200" w:hanging="200"/>
              <w:rPr>
                <w:sz w:val="22"/>
                <w:highlight w:val="yellow"/>
              </w:rPr>
            </w:pPr>
          </w:p>
        </w:tc>
      </w:tr>
      <w:tr w:rsidR="00072115" w:rsidRPr="0053635E" w:rsidTr="00C44DEB">
        <w:trPr>
          <w:gridAfter w:val="1"/>
          <w:wAfter w:w="772" w:type="pct"/>
          <w:cantSplit/>
          <w:jc w:val="center"/>
        </w:trPr>
        <w:tc>
          <w:tcPr>
            <w:tcW w:w="4228" w:type="pct"/>
            <w:gridSpan w:val="2"/>
            <w:tcBorders>
              <w:top w:val="nil"/>
              <w:left w:val="nil"/>
              <w:bottom w:val="nil"/>
              <w:right w:val="nil"/>
            </w:tcBorders>
          </w:tcPr>
          <w:p w:rsidR="00072115" w:rsidRPr="0053635E" w:rsidRDefault="00072115" w:rsidP="00305D5E">
            <w:pPr>
              <w:suppressAutoHyphens/>
              <w:ind w:left="200" w:hanging="200"/>
              <w:rPr>
                <w:sz w:val="22"/>
                <w:highlight w:val="yellow"/>
              </w:rPr>
            </w:pPr>
          </w:p>
        </w:tc>
      </w:tr>
      <w:tr w:rsidR="00072115" w:rsidRPr="0053635E" w:rsidTr="00C44DEB">
        <w:trPr>
          <w:cantSplit/>
          <w:jc w:val="center"/>
        </w:trPr>
        <w:tc>
          <w:tcPr>
            <w:tcW w:w="772" w:type="pct"/>
            <w:tcBorders>
              <w:top w:val="nil"/>
              <w:left w:val="nil"/>
              <w:bottom w:val="nil"/>
              <w:right w:val="nil"/>
            </w:tcBorders>
          </w:tcPr>
          <w:p w:rsidR="00072115" w:rsidRPr="00072115" w:rsidRDefault="00072115" w:rsidP="00072115">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072115">
              <w:rPr>
                <w:sz w:val="22"/>
              </w:rPr>
              <w:t>10.01</w:t>
            </w:r>
          </w:p>
        </w:tc>
        <w:tc>
          <w:tcPr>
            <w:tcW w:w="4228" w:type="pct"/>
            <w:gridSpan w:val="2"/>
            <w:tcBorders>
              <w:top w:val="nil"/>
              <w:left w:val="nil"/>
              <w:bottom w:val="nil"/>
              <w:right w:val="nil"/>
            </w:tcBorders>
          </w:tcPr>
          <w:p w:rsidR="00072115" w:rsidRPr="00072115" w:rsidRDefault="00072115" w:rsidP="00072115">
            <w:pPr>
              <w:suppressAutoHyphens/>
              <w:ind w:left="200" w:hanging="200"/>
              <w:jc w:val="both"/>
              <w:rPr>
                <w:sz w:val="22"/>
              </w:rPr>
            </w:pPr>
            <w:r w:rsidRPr="00072115">
              <w:rPr>
                <w:sz w:val="22"/>
              </w:rPr>
              <w:t>Incremental Facility Amendment, dated as of April 15, 2014, to the Credit Agreement dated as of August 9, 2012 by and among Interpool, Inc., the other Loan Parties identified therein, J.P. Morgan Chase Bank, National Association as administrative agent, J.P. Morgan Securities and the lenders party thereto (incorporated by reference to Exhibit 10.1 to TRAC Intermodal LLC’s Current Report on Form 8-K filed with the SEC on April 18, 2014).</w:t>
            </w:r>
          </w:p>
        </w:tc>
      </w:tr>
      <w:tr w:rsidR="00072115" w:rsidRPr="0053635E" w:rsidTr="00C44DEB">
        <w:trPr>
          <w:cantSplit/>
          <w:jc w:val="center"/>
        </w:trPr>
        <w:tc>
          <w:tcPr>
            <w:tcW w:w="772" w:type="pct"/>
            <w:tcBorders>
              <w:top w:val="nil"/>
              <w:left w:val="nil"/>
              <w:bottom w:val="nil"/>
              <w:right w:val="nil"/>
            </w:tcBorders>
          </w:tcPr>
          <w:p w:rsidR="00072115" w:rsidRPr="00072115" w:rsidRDefault="00072115" w:rsidP="00072115">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072115">
              <w:rPr>
                <w:sz w:val="22"/>
              </w:rPr>
              <w:t>10.02</w:t>
            </w:r>
          </w:p>
        </w:tc>
        <w:tc>
          <w:tcPr>
            <w:tcW w:w="4228" w:type="pct"/>
            <w:gridSpan w:val="2"/>
            <w:tcBorders>
              <w:top w:val="nil"/>
              <w:left w:val="nil"/>
              <w:bottom w:val="nil"/>
              <w:right w:val="nil"/>
            </w:tcBorders>
          </w:tcPr>
          <w:p w:rsidR="00072115" w:rsidRPr="00072115" w:rsidRDefault="00072115" w:rsidP="00072115">
            <w:pPr>
              <w:suppressAutoHyphens/>
              <w:ind w:left="200" w:hanging="200"/>
              <w:jc w:val="both"/>
              <w:rPr>
                <w:sz w:val="22"/>
              </w:rPr>
            </w:pPr>
            <w:r w:rsidRPr="00072115">
              <w:rPr>
                <w:sz w:val="22"/>
              </w:rPr>
              <w:t>Amendment No. 2, dated as of April 15, 2014, to the Credit Agreement dated as of August 9, 2012 by and among Interpool, Inc., the other Loan Parties identified therein, J.P. Morgan Chase Bank, National Association as administrative agent, J.P. Morgan Securities and the lenders party thereto (incorporated by reference to Exhibit 10.2 to TRAC Intermodal LLC’s Current Report on Form 8-K filed with the SEC on April 18, 2014).</w:t>
            </w:r>
          </w:p>
        </w:tc>
      </w:tr>
      <w:tr w:rsidR="0004019A" w:rsidRPr="0053635E" w:rsidTr="00C44DEB">
        <w:trPr>
          <w:cantSplit/>
          <w:jc w:val="center"/>
        </w:trPr>
        <w:tc>
          <w:tcPr>
            <w:tcW w:w="772" w:type="pct"/>
            <w:tcBorders>
              <w:top w:val="nil"/>
              <w:left w:val="nil"/>
              <w:bottom w:val="nil"/>
              <w:right w:val="nil"/>
            </w:tcBorders>
          </w:tcPr>
          <w:p w:rsidR="0004019A" w:rsidRPr="004B64D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4B64DE">
              <w:rPr>
                <w:sz w:val="22"/>
              </w:rPr>
              <w:t>31.1*</w:t>
            </w:r>
          </w:p>
        </w:tc>
        <w:tc>
          <w:tcPr>
            <w:tcW w:w="4228" w:type="pct"/>
            <w:gridSpan w:val="2"/>
            <w:tcBorders>
              <w:top w:val="nil"/>
              <w:left w:val="nil"/>
              <w:bottom w:val="nil"/>
              <w:right w:val="nil"/>
            </w:tcBorders>
          </w:tcPr>
          <w:p w:rsidR="0004019A" w:rsidRPr="004B64DE" w:rsidRDefault="0004019A" w:rsidP="00072115">
            <w:pPr>
              <w:suppressAutoHyphens/>
              <w:ind w:left="200" w:hanging="200"/>
              <w:jc w:val="both"/>
              <w:rPr>
                <w:sz w:val="22"/>
              </w:rPr>
            </w:pPr>
            <w:r w:rsidRPr="004B64DE">
              <w:rPr>
                <w:sz w:val="22"/>
              </w:rPr>
              <w:t>Certification of Chief Executive Officer pursuant to Rule 13a-14(a)/15d-14(a) as adopted pursuant to Section 302 of the Sarbanes-Oxley Act of 2002.</w:t>
            </w:r>
          </w:p>
        </w:tc>
      </w:tr>
      <w:tr w:rsidR="0004019A" w:rsidRPr="0053635E" w:rsidTr="00C44DEB">
        <w:trPr>
          <w:cantSplit/>
          <w:jc w:val="center"/>
        </w:trPr>
        <w:tc>
          <w:tcPr>
            <w:tcW w:w="772" w:type="pct"/>
            <w:tcBorders>
              <w:top w:val="nil"/>
              <w:left w:val="nil"/>
              <w:bottom w:val="nil"/>
              <w:right w:val="nil"/>
            </w:tcBorders>
          </w:tcPr>
          <w:p w:rsidR="0004019A" w:rsidRPr="004B64D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4B64DE">
              <w:rPr>
                <w:sz w:val="22"/>
              </w:rPr>
              <w:t>31.2*</w:t>
            </w:r>
          </w:p>
        </w:tc>
        <w:tc>
          <w:tcPr>
            <w:tcW w:w="4228" w:type="pct"/>
            <w:gridSpan w:val="2"/>
            <w:tcBorders>
              <w:top w:val="nil"/>
              <w:left w:val="nil"/>
              <w:bottom w:val="nil"/>
              <w:right w:val="nil"/>
            </w:tcBorders>
          </w:tcPr>
          <w:p w:rsidR="0004019A" w:rsidRPr="004B64DE" w:rsidRDefault="0004019A" w:rsidP="00072115">
            <w:pPr>
              <w:suppressAutoHyphens/>
              <w:ind w:left="200" w:hanging="200"/>
              <w:jc w:val="both"/>
              <w:rPr>
                <w:sz w:val="22"/>
              </w:rPr>
            </w:pPr>
            <w:r w:rsidRPr="004B64DE">
              <w:rPr>
                <w:sz w:val="22"/>
              </w:rPr>
              <w:tab/>
              <w:t>Certification of Chief Financial Officer pursuant to Rule 13a-14(a)/15d-14(a) as adopted pursuant to Section 302 of the Sarbanes-Oxley Act of 2002.</w:t>
            </w:r>
          </w:p>
        </w:tc>
      </w:tr>
      <w:tr w:rsidR="0004019A" w:rsidRPr="0053635E" w:rsidTr="00C44DEB">
        <w:trPr>
          <w:cantSplit/>
          <w:jc w:val="center"/>
        </w:trPr>
        <w:tc>
          <w:tcPr>
            <w:tcW w:w="772" w:type="pct"/>
            <w:tcBorders>
              <w:top w:val="nil"/>
              <w:left w:val="nil"/>
              <w:bottom w:val="nil"/>
              <w:right w:val="nil"/>
            </w:tcBorders>
          </w:tcPr>
          <w:p w:rsidR="0004019A" w:rsidRPr="004B64D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4B64DE">
              <w:rPr>
                <w:sz w:val="22"/>
              </w:rPr>
              <w:t>32.1*</w:t>
            </w:r>
          </w:p>
        </w:tc>
        <w:tc>
          <w:tcPr>
            <w:tcW w:w="4228" w:type="pct"/>
            <w:gridSpan w:val="2"/>
            <w:tcBorders>
              <w:top w:val="nil"/>
              <w:left w:val="nil"/>
              <w:bottom w:val="nil"/>
              <w:right w:val="nil"/>
            </w:tcBorders>
          </w:tcPr>
          <w:p w:rsidR="0004019A" w:rsidRPr="004B64DE" w:rsidRDefault="0004019A" w:rsidP="00072115">
            <w:pPr>
              <w:suppressAutoHyphens/>
              <w:ind w:left="200" w:hanging="200"/>
              <w:jc w:val="both"/>
              <w:rPr>
                <w:sz w:val="22"/>
              </w:rPr>
            </w:pPr>
            <w:r w:rsidRPr="004B64DE">
              <w:rPr>
                <w:sz w:val="22"/>
              </w:rPr>
              <w:t>Certification of Chief Executive Officer pursuant to 18 U.S.C. Section 1350, as adopted pursuant to section 906 of the Sarbanes-Oxley Act of 2002.</w:t>
            </w:r>
          </w:p>
        </w:tc>
      </w:tr>
      <w:tr w:rsidR="0004019A" w:rsidRPr="0053635E" w:rsidTr="00C44DEB">
        <w:trPr>
          <w:cantSplit/>
          <w:jc w:val="center"/>
        </w:trPr>
        <w:tc>
          <w:tcPr>
            <w:tcW w:w="772" w:type="pct"/>
            <w:tcBorders>
              <w:top w:val="nil"/>
              <w:left w:val="nil"/>
              <w:bottom w:val="nil"/>
              <w:right w:val="nil"/>
            </w:tcBorders>
          </w:tcPr>
          <w:p w:rsidR="0004019A" w:rsidRPr="004B64D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4B64DE">
              <w:rPr>
                <w:sz w:val="22"/>
              </w:rPr>
              <w:t>32.2*</w:t>
            </w:r>
          </w:p>
        </w:tc>
        <w:tc>
          <w:tcPr>
            <w:tcW w:w="4228" w:type="pct"/>
            <w:gridSpan w:val="2"/>
            <w:tcBorders>
              <w:top w:val="nil"/>
              <w:left w:val="nil"/>
              <w:bottom w:val="nil"/>
              <w:right w:val="nil"/>
            </w:tcBorders>
          </w:tcPr>
          <w:p w:rsidR="0004019A" w:rsidRPr="004B64DE" w:rsidRDefault="0004019A" w:rsidP="00072115">
            <w:pPr>
              <w:suppressAutoHyphens/>
              <w:ind w:left="200" w:hanging="200"/>
              <w:jc w:val="both"/>
              <w:rPr>
                <w:sz w:val="22"/>
              </w:rPr>
            </w:pPr>
            <w:r w:rsidRPr="004B64DE">
              <w:rPr>
                <w:sz w:val="22"/>
              </w:rPr>
              <w:t>Certification of Chief Executive Officer pursuant to 18 U.S.C. Section 1350, as adopted pursuant to section 906 of the Sarbanes-Oxley Act of 2002.</w:t>
            </w:r>
            <w:r w:rsidRPr="004B64DE">
              <w:rPr>
                <w:sz w:val="22"/>
              </w:rPr>
              <w:tab/>
            </w:r>
          </w:p>
        </w:tc>
      </w:tr>
      <w:tr w:rsidR="0004019A" w:rsidRPr="0053635E" w:rsidTr="00C44DEB">
        <w:trPr>
          <w:cantSplit/>
          <w:jc w:val="center"/>
        </w:trPr>
        <w:tc>
          <w:tcPr>
            <w:tcW w:w="772" w:type="pct"/>
            <w:tcBorders>
              <w:top w:val="nil"/>
              <w:left w:val="nil"/>
              <w:bottom w:val="nil"/>
              <w:right w:val="nil"/>
            </w:tcBorders>
          </w:tcPr>
          <w:p w:rsidR="0004019A" w:rsidRPr="004B64D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4B64DE">
              <w:rPr>
                <w:sz w:val="22"/>
              </w:rPr>
              <w:t>101.INS*</w:t>
            </w:r>
          </w:p>
        </w:tc>
        <w:tc>
          <w:tcPr>
            <w:tcW w:w="4228" w:type="pct"/>
            <w:gridSpan w:val="2"/>
            <w:tcBorders>
              <w:top w:val="nil"/>
              <w:left w:val="nil"/>
              <w:bottom w:val="nil"/>
              <w:right w:val="nil"/>
            </w:tcBorders>
          </w:tcPr>
          <w:p w:rsidR="0004019A" w:rsidRPr="004B64DE" w:rsidRDefault="0004019A" w:rsidP="00072115">
            <w:pPr>
              <w:suppressAutoHyphens/>
              <w:ind w:left="200" w:hanging="200"/>
              <w:jc w:val="both"/>
              <w:rPr>
                <w:sz w:val="22"/>
              </w:rPr>
            </w:pPr>
            <w:r w:rsidRPr="004B64DE">
              <w:rPr>
                <w:sz w:val="22"/>
              </w:rPr>
              <w:t>XBRL Instance Document.</w:t>
            </w:r>
            <w:r w:rsidRPr="004B64DE">
              <w:rPr>
                <w:sz w:val="22"/>
              </w:rPr>
              <w:tab/>
            </w:r>
          </w:p>
        </w:tc>
      </w:tr>
      <w:tr w:rsidR="0004019A" w:rsidRPr="0053635E" w:rsidTr="00C44DEB">
        <w:trPr>
          <w:cantSplit/>
          <w:jc w:val="center"/>
        </w:trPr>
        <w:tc>
          <w:tcPr>
            <w:tcW w:w="772" w:type="pct"/>
            <w:tcBorders>
              <w:top w:val="nil"/>
              <w:left w:val="nil"/>
              <w:bottom w:val="nil"/>
              <w:right w:val="nil"/>
            </w:tcBorders>
          </w:tcPr>
          <w:p w:rsidR="0004019A" w:rsidRPr="004B64D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4B64DE">
              <w:rPr>
                <w:sz w:val="22"/>
              </w:rPr>
              <w:t>101.SCH*</w:t>
            </w:r>
          </w:p>
        </w:tc>
        <w:tc>
          <w:tcPr>
            <w:tcW w:w="4228" w:type="pct"/>
            <w:gridSpan w:val="2"/>
            <w:tcBorders>
              <w:top w:val="nil"/>
              <w:left w:val="nil"/>
              <w:bottom w:val="nil"/>
              <w:right w:val="nil"/>
            </w:tcBorders>
          </w:tcPr>
          <w:p w:rsidR="0004019A" w:rsidRPr="004B64DE" w:rsidRDefault="0004019A" w:rsidP="00072115">
            <w:pPr>
              <w:suppressAutoHyphens/>
              <w:ind w:left="200" w:hanging="200"/>
              <w:jc w:val="both"/>
              <w:rPr>
                <w:sz w:val="22"/>
              </w:rPr>
            </w:pPr>
            <w:r w:rsidRPr="004B64DE">
              <w:rPr>
                <w:sz w:val="22"/>
              </w:rPr>
              <w:t>XBRL Taxonomy Extension Schema Document</w:t>
            </w:r>
            <w:r w:rsidRPr="004B64DE">
              <w:rPr>
                <w:sz w:val="22"/>
              </w:rPr>
              <w:tab/>
              <w:t>.</w:t>
            </w:r>
          </w:p>
        </w:tc>
      </w:tr>
      <w:tr w:rsidR="0004019A" w:rsidRPr="0053635E" w:rsidTr="00C44DEB">
        <w:trPr>
          <w:cantSplit/>
          <w:jc w:val="center"/>
        </w:trPr>
        <w:tc>
          <w:tcPr>
            <w:tcW w:w="772" w:type="pct"/>
            <w:tcBorders>
              <w:top w:val="nil"/>
              <w:left w:val="nil"/>
              <w:bottom w:val="nil"/>
              <w:right w:val="nil"/>
            </w:tcBorders>
          </w:tcPr>
          <w:p w:rsidR="0004019A" w:rsidRPr="004B64D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4B64DE">
              <w:rPr>
                <w:sz w:val="22"/>
              </w:rPr>
              <w:t>101.CAL*</w:t>
            </w:r>
          </w:p>
        </w:tc>
        <w:tc>
          <w:tcPr>
            <w:tcW w:w="4228" w:type="pct"/>
            <w:gridSpan w:val="2"/>
            <w:tcBorders>
              <w:top w:val="nil"/>
              <w:left w:val="nil"/>
              <w:bottom w:val="nil"/>
              <w:right w:val="nil"/>
            </w:tcBorders>
          </w:tcPr>
          <w:p w:rsidR="0004019A" w:rsidRPr="004B64DE" w:rsidRDefault="0004019A" w:rsidP="00072115">
            <w:pPr>
              <w:jc w:val="both"/>
            </w:pPr>
            <w:r w:rsidRPr="004B64DE">
              <w:rPr>
                <w:sz w:val="22"/>
              </w:rPr>
              <w:t>XBRL Taxonomy Extension Calculation Linkbase Document.</w:t>
            </w:r>
          </w:p>
        </w:tc>
      </w:tr>
      <w:tr w:rsidR="0004019A" w:rsidRPr="0053635E" w:rsidTr="00C44DEB">
        <w:trPr>
          <w:cantSplit/>
          <w:jc w:val="center"/>
        </w:trPr>
        <w:tc>
          <w:tcPr>
            <w:tcW w:w="772" w:type="pct"/>
            <w:tcBorders>
              <w:top w:val="nil"/>
              <w:left w:val="nil"/>
              <w:bottom w:val="nil"/>
              <w:right w:val="nil"/>
            </w:tcBorders>
          </w:tcPr>
          <w:p w:rsidR="0004019A" w:rsidRPr="004B64D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4B64DE">
              <w:rPr>
                <w:sz w:val="22"/>
              </w:rPr>
              <w:t>101.DEF*</w:t>
            </w:r>
          </w:p>
        </w:tc>
        <w:tc>
          <w:tcPr>
            <w:tcW w:w="4228" w:type="pct"/>
            <w:gridSpan w:val="2"/>
            <w:tcBorders>
              <w:top w:val="nil"/>
              <w:left w:val="nil"/>
              <w:bottom w:val="nil"/>
              <w:right w:val="nil"/>
            </w:tcBorders>
          </w:tcPr>
          <w:p w:rsidR="0004019A" w:rsidRPr="004B64DE" w:rsidRDefault="0004019A" w:rsidP="00072115">
            <w:pPr>
              <w:jc w:val="both"/>
            </w:pPr>
            <w:r w:rsidRPr="004B64DE">
              <w:rPr>
                <w:sz w:val="22"/>
              </w:rPr>
              <w:t>XBRL Taxonomy Extension Definition Linkbase Document.</w:t>
            </w:r>
          </w:p>
        </w:tc>
      </w:tr>
      <w:tr w:rsidR="0004019A" w:rsidRPr="0053635E" w:rsidTr="00C44DEB">
        <w:trPr>
          <w:cantSplit/>
          <w:jc w:val="center"/>
        </w:trPr>
        <w:tc>
          <w:tcPr>
            <w:tcW w:w="772" w:type="pct"/>
            <w:tcBorders>
              <w:top w:val="nil"/>
              <w:left w:val="nil"/>
              <w:bottom w:val="nil"/>
              <w:right w:val="nil"/>
            </w:tcBorders>
          </w:tcPr>
          <w:p w:rsidR="0004019A" w:rsidRPr="004B64D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4B64DE">
              <w:rPr>
                <w:sz w:val="22"/>
              </w:rPr>
              <w:t>101.LAB*</w:t>
            </w:r>
          </w:p>
        </w:tc>
        <w:tc>
          <w:tcPr>
            <w:tcW w:w="4228" w:type="pct"/>
            <w:gridSpan w:val="2"/>
            <w:tcBorders>
              <w:top w:val="nil"/>
              <w:left w:val="nil"/>
              <w:bottom w:val="nil"/>
              <w:right w:val="nil"/>
            </w:tcBorders>
          </w:tcPr>
          <w:p w:rsidR="0004019A" w:rsidRPr="004B64DE" w:rsidRDefault="0004019A" w:rsidP="00072115">
            <w:pPr>
              <w:jc w:val="both"/>
            </w:pPr>
            <w:r w:rsidRPr="004B64DE">
              <w:rPr>
                <w:sz w:val="22"/>
              </w:rPr>
              <w:t>XBRL Taxonomy Extension Label Linkbase Document.</w:t>
            </w:r>
          </w:p>
        </w:tc>
      </w:tr>
      <w:tr w:rsidR="0004019A" w:rsidRPr="0053635E" w:rsidTr="00C44DEB">
        <w:trPr>
          <w:cantSplit/>
          <w:jc w:val="center"/>
        </w:trPr>
        <w:tc>
          <w:tcPr>
            <w:tcW w:w="772" w:type="pct"/>
            <w:tcBorders>
              <w:top w:val="nil"/>
              <w:left w:val="nil"/>
              <w:bottom w:val="nil"/>
              <w:right w:val="nil"/>
            </w:tcBorders>
          </w:tcPr>
          <w:p w:rsidR="0004019A" w:rsidRPr="004B64D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r w:rsidRPr="004B64DE">
              <w:rPr>
                <w:sz w:val="22"/>
              </w:rPr>
              <w:t>101.PRE*</w:t>
            </w:r>
          </w:p>
        </w:tc>
        <w:tc>
          <w:tcPr>
            <w:tcW w:w="4228" w:type="pct"/>
            <w:gridSpan w:val="2"/>
            <w:tcBorders>
              <w:top w:val="nil"/>
              <w:left w:val="nil"/>
              <w:bottom w:val="nil"/>
              <w:right w:val="nil"/>
            </w:tcBorders>
          </w:tcPr>
          <w:p w:rsidR="0004019A" w:rsidRPr="004B64DE" w:rsidRDefault="0004019A" w:rsidP="00072115">
            <w:pPr>
              <w:jc w:val="both"/>
            </w:pPr>
            <w:r w:rsidRPr="004B64DE">
              <w:rPr>
                <w:sz w:val="22"/>
              </w:rPr>
              <w:t>XBRL Taxonomy Extension Presentation Linkbase Document.</w:t>
            </w:r>
          </w:p>
        </w:tc>
      </w:tr>
      <w:tr w:rsidR="0004019A" w:rsidRPr="0053635E" w:rsidTr="00C44DEB">
        <w:trPr>
          <w:cantSplit/>
          <w:jc w:val="center"/>
        </w:trPr>
        <w:tc>
          <w:tcPr>
            <w:tcW w:w="772" w:type="pct"/>
            <w:tcBorders>
              <w:top w:val="nil"/>
              <w:left w:val="nil"/>
              <w:bottom w:val="nil"/>
              <w:right w:val="nil"/>
            </w:tcBorders>
          </w:tcPr>
          <w:p w:rsidR="0004019A" w:rsidRPr="004B64D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rPr>
            </w:pPr>
          </w:p>
        </w:tc>
        <w:tc>
          <w:tcPr>
            <w:tcW w:w="4228" w:type="pct"/>
            <w:gridSpan w:val="2"/>
            <w:tcBorders>
              <w:top w:val="nil"/>
              <w:left w:val="nil"/>
              <w:bottom w:val="nil"/>
              <w:right w:val="nil"/>
            </w:tcBorders>
          </w:tcPr>
          <w:p w:rsidR="0004019A" w:rsidRPr="004B64DE" w:rsidRDefault="0004019A" w:rsidP="00C44DEB">
            <w:pPr>
              <w:rPr>
                <w:sz w:val="22"/>
              </w:rPr>
            </w:pPr>
          </w:p>
        </w:tc>
      </w:tr>
      <w:tr w:rsidR="0004019A" w:rsidRPr="0053635E" w:rsidTr="00B06453">
        <w:trPr>
          <w:cantSplit/>
          <w:jc w:val="center"/>
        </w:trPr>
        <w:tc>
          <w:tcPr>
            <w:tcW w:w="5000" w:type="pct"/>
            <w:gridSpan w:val="3"/>
            <w:tcBorders>
              <w:top w:val="nil"/>
              <w:left w:val="nil"/>
              <w:bottom w:val="nil"/>
              <w:right w:val="nil"/>
            </w:tcBorders>
          </w:tcPr>
          <w:p w:rsidR="0004019A" w:rsidRPr="004B64DE" w:rsidRDefault="0004019A" w:rsidP="00C44DEB">
            <w:pPr>
              <w:rPr>
                <w:sz w:val="22"/>
              </w:rPr>
            </w:pPr>
            <w:r w:rsidRPr="004B64DE">
              <w:rPr>
                <w:sz w:val="22"/>
              </w:rPr>
              <w:t xml:space="preserve">*Filed herewith </w:t>
            </w:r>
          </w:p>
        </w:tc>
      </w:tr>
      <w:tr w:rsidR="0004019A" w:rsidRPr="0053635E" w:rsidTr="00B06453">
        <w:trPr>
          <w:cantSplit/>
          <w:jc w:val="center"/>
        </w:trPr>
        <w:tc>
          <w:tcPr>
            <w:tcW w:w="5000" w:type="pct"/>
            <w:gridSpan w:val="3"/>
            <w:tcBorders>
              <w:top w:val="nil"/>
              <w:left w:val="nil"/>
              <w:bottom w:val="nil"/>
              <w:right w:val="nil"/>
            </w:tcBorders>
          </w:tcPr>
          <w:p w:rsidR="0004019A" w:rsidRPr="0053635E" w:rsidRDefault="0004019A" w:rsidP="00C44DEB">
            <w:pPr>
              <w:rPr>
                <w:sz w:val="22"/>
                <w:highlight w:val="yellow"/>
              </w:rPr>
            </w:pPr>
          </w:p>
        </w:tc>
      </w:tr>
      <w:tr w:rsidR="0004019A" w:rsidRPr="0053635E" w:rsidTr="00C44DEB">
        <w:trPr>
          <w:cantSplit/>
          <w:jc w:val="center"/>
        </w:trPr>
        <w:tc>
          <w:tcPr>
            <w:tcW w:w="772" w:type="pct"/>
            <w:tcBorders>
              <w:top w:val="nil"/>
              <w:left w:val="nil"/>
              <w:right w:val="nil"/>
            </w:tcBorders>
          </w:tcPr>
          <w:p w:rsidR="0004019A" w:rsidRPr="0053635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highlight w:val="yellow"/>
              </w:rPr>
            </w:pPr>
          </w:p>
        </w:tc>
        <w:tc>
          <w:tcPr>
            <w:tcW w:w="4228" w:type="pct"/>
            <w:gridSpan w:val="2"/>
            <w:tcBorders>
              <w:top w:val="nil"/>
              <w:left w:val="nil"/>
              <w:right w:val="nil"/>
            </w:tcBorders>
          </w:tcPr>
          <w:p w:rsidR="0004019A" w:rsidRPr="0053635E" w:rsidRDefault="0004019A" w:rsidP="00C44DEB">
            <w:pPr>
              <w:rPr>
                <w:sz w:val="22"/>
                <w:highlight w:val="yellow"/>
              </w:rPr>
            </w:pPr>
          </w:p>
        </w:tc>
      </w:tr>
      <w:tr w:rsidR="0004019A" w:rsidRPr="0053635E" w:rsidTr="00C44DEB">
        <w:trPr>
          <w:cantSplit/>
          <w:jc w:val="center"/>
        </w:trPr>
        <w:tc>
          <w:tcPr>
            <w:tcW w:w="772" w:type="pct"/>
            <w:tcBorders>
              <w:top w:val="nil"/>
              <w:left w:val="nil"/>
              <w:bottom w:val="thickThinSmallGap" w:sz="24" w:space="0" w:color="auto"/>
              <w:right w:val="nil"/>
            </w:tcBorders>
          </w:tcPr>
          <w:p w:rsidR="0004019A" w:rsidRPr="0053635E" w:rsidRDefault="0004019A" w:rsidP="00C44DEB">
            <w:pPr>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 w:val="22"/>
                <w:highlight w:val="yellow"/>
              </w:rPr>
            </w:pPr>
          </w:p>
        </w:tc>
        <w:tc>
          <w:tcPr>
            <w:tcW w:w="4228" w:type="pct"/>
            <w:gridSpan w:val="2"/>
            <w:tcBorders>
              <w:top w:val="nil"/>
              <w:left w:val="nil"/>
              <w:bottom w:val="thickThinSmallGap" w:sz="24" w:space="0" w:color="auto"/>
              <w:right w:val="nil"/>
            </w:tcBorders>
          </w:tcPr>
          <w:p w:rsidR="0004019A" w:rsidRPr="0053635E" w:rsidRDefault="0004019A" w:rsidP="00C44DEB">
            <w:pPr>
              <w:rPr>
                <w:sz w:val="22"/>
                <w:highlight w:val="yellow"/>
              </w:rPr>
            </w:pPr>
          </w:p>
        </w:tc>
      </w:tr>
    </w:tbl>
    <w:p w:rsidR="00124376" w:rsidRPr="0053635E" w:rsidRDefault="00124376" w:rsidP="0060249E">
      <w:pPr>
        <w:tabs>
          <w:tab w:val="left" w:pos="-720"/>
        </w:tabs>
        <w:suppressAutoHyphens/>
        <w:spacing w:after="240"/>
        <w:jc w:val="both"/>
        <w:rPr>
          <w:b/>
          <w:iCs/>
          <w:sz w:val="22"/>
          <w:highlight w:val="yellow"/>
        </w:rPr>
        <w:sectPr w:rsidR="00124376" w:rsidRPr="0053635E" w:rsidSect="00822B62">
          <w:headerReference w:type="even" r:id="rId23"/>
          <w:headerReference w:type="default" r:id="rId24"/>
          <w:headerReference w:type="first" r:id="rId25"/>
          <w:pgSz w:w="12240" w:h="15840"/>
          <w:pgMar w:top="2340" w:right="1080" w:bottom="1080" w:left="1080" w:header="720" w:footer="720" w:gutter="0"/>
          <w:cols w:space="720"/>
          <w:docGrid w:linePitch="299"/>
        </w:sectPr>
      </w:pPr>
    </w:p>
    <w:p w:rsidR="00124376" w:rsidRPr="00021243" w:rsidRDefault="00845566" w:rsidP="0060249E">
      <w:pPr>
        <w:tabs>
          <w:tab w:val="left" w:pos="-720"/>
        </w:tabs>
        <w:suppressAutoHyphens/>
        <w:spacing w:after="240"/>
        <w:jc w:val="both"/>
        <w:rPr>
          <w:b/>
          <w:iCs/>
          <w:sz w:val="22"/>
        </w:rPr>
      </w:pPr>
      <w:r w:rsidRPr="00021243">
        <w:rPr>
          <w:b/>
          <w:iCs/>
          <w:sz w:val="22"/>
        </w:rPr>
        <w:lastRenderedPageBreak/>
        <w:tab/>
      </w:r>
      <w:r w:rsidRPr="00021243">
        <w:rPr>
          <w:b/>
          <w:iCs/>
          <w:sz w:val="22"/>
        </w:rPr>
        <w:tab/>
      </w:r>
      <w:r w:rsidRPr="00021243">
        <w:rPr>
          <w:b/>
          <w:iCs/>
          <w:sz w:val="22"/>
        </w:rPr>
        <w:tab/>
      </w:r>
      <w:r w:rsidRPr="00021243">
        <w:rPr>
          <w:b/>
          <w:iCs/>
          <w:sz w:val="22"/>
        </w:rPr>
        <w:tab/>
      </w:r>
      <w:r w:rsidRPr="00021243">
        <w:rPr>
          <w:b/>
          <w:iCs/>
          <w:sz w:val="22"/>
        </w:rPr>
        <w:tab/>
      </w:r>
      <w:r w:rsidRPr="00021243">
        <w:rPr>
          <w:b/>
          <w:iCs/>
          <w:sz w:val="22"/>
        </w:rPr>
        <w:tab/>
        <w:t>SIGNATURES</w:t>
      </w:r>
    </w:p>
    <w:p w:rsidR="000B6A6F" w:rsidRPr="00021243" w:rsidRDefault="00845566" w:rsidP="0060249E">
      <w:pPr>
        <w:tabs>
          <w:tab w:val="left" w:pos="-720"/>
        </w:tabs>
        <w:suppressAutoHyphens/>
        <w:spacing w:after="240"/>
        <w:jc w:val="both"/>
        <w:rPr>
          <w:b/>
          <w:iCs/>
          <w:sz w:val="22"/>
        </w:rPr>
      </w:pPr>
      <w:r w:rsidRPr="00021243">
        <w:rPr>
          <w:b/>
          <w:iCs/>
          <w:sz w:val="22"/>
        </w:rPr>
        <w:tab/>
      </w:r>
      <w:r w:rsidRPr="00021243">
        <w:rPr>
          <w:b/>
          <w:iCs/>
          <w:sz w:val="22"/>
        </w:rPr>
        <w:tab/>
      </w:r>
      <w:r w:rsidRPr="00021243">
        <w:rPr>
          <w:b/>
          <w:iCs/>
          <w:sz w:val="22"/>
        </w:rPr>
        <w:tab/>
      </w:r>
      <w:r w:rsidRPr="00021243">
        <w:rPr>
          <w:b/>
          <w:iCs/>
          <w:sz w:val="22"/>
        </w:rPr>
        <w:tab/>
      </w:r>
      <w:r w:rsidRPr="00021243">
        <w:rPr>
          <w:b/>
          <w:iCs/>
          <w:sz w:val="22"/>
        </w:rPr>
        <w:tab/>
      </w:r>
    </w:p>
    <w:p w:rsidR="00845566" w:rsidRPr="00021243" w:rsidRDefault="00845566" w:rsidP="0060249E">
      <w:pPr>
        <w:tabs>
          <w:tab w:val="left" w:pos="-720"/>
        </w:tabs>
        <w:suppressAutoHyphens/>
        <w:spacing w:after="240"/>
        <w:jc w:val="both"/>
        <w:rPr>
          <w:b/>
          <w:iCs/>
          <w:sz w:val="22"/>
        </w:rPr>
      </w:pPr>
    </w:p>
    <w:p w:rsidR="000B6A6F" w:rsidRPr="00021243" w:rsidRDefault="000B6A6F" w:rsidP="0060249E">
      <w:pPr>
        <w:tabs>
          <w:tab w:val="left" w:pos="-720"/>
        </w:tabs>
        <w:suppressAutoHyphens/>
        <w:spacing w:after="240"/>
        <w:jc w:val="both"/>
        <w:rPr>
          <w:iCs/>
          <w:sz w:val="22"/>
        </w:rPr>
      </w:pPr>
      <w:r w:rsidRPr="00021243">
        <w:rPr>
          <w:b/>
          <w:iCs/>
          <w:sz w:val="22"/>
        </w:rPr>
        <w:tab/>
      </w:r>
      <w:r w:rsidRPr="00021243">
        <w:rPr>
          <w:iCs/>
          <w:sz w:val="22"/>
        </w:rPr>
        <w:t xml:space="preserve">Pursuant to the requirements of the Securities Exchange Act of 1934, the </w:t>
      </w:r>
      <w:r w:rsidR="00CE485E">
        <w:rPr>
          <w:iCs/>
          <w:sz w:val="22"/>
        </w:rPr>
        <w:t>r</w:t>
      </w:r>
      <w:r w:rsidRPr="00021243">
        <w:rPr>
          <w:iCs/>
          <w:sz w:val="22"/>
        </w:rPr>
        <w:t>egistrant has duly caused this report to be signed on its behalf by the undersigned there unto duly authorized.</w:t>
      </w:r>
    </w:p>
    <w:p w:rsidR="000B6A6F" w:rsidRPr="00021243" w:rsidRDefault="000B6A6F" w:rsidP="0060249E">
      <w:pPr>
        <w:tabs>
          <w:tab w:val="left" w:pos="-720"/>
        </w:tabs>
        <w:suppressAutoHyphens/>
        <w:spacing w:after="240"/>
        <w:jc w:val="both"/>
        <w:rPr>
          <w:iCs/>
          <w:sz w:val="22"/>
        </w:rPr>
      </w:pPr>
    </w:p>
    <w:p w:rsidR="000B6A6F" w:rsidRPr="00021243" w:rsidRDefault="000B6A6F" w:rsidP="0060249E">
      <w:pPr>
        <w:tabs>
          <w:tab w:val="left" w:pos="-720"/>
        </w:tabs>
        <w:suppressAutoHyphens/>
        <w:spacing w:after="240"/>
        <w:jc w:val="both"/>
        <w:rPr>
          <w:iCs/>
          <w:sz w:val="22"/>
        </w:rPr>
      </w:pPr>
      <w:r w:rsidRPr="00021243">
        <w:rPr>
          <w:iCs/>
          <w:sz w:val="22"/>
        </w:rPr>
        <w:t>Date:</w:t>
      </w:r>
      <w:r w:rsidRPr="00021243">
        <w:rPr>
          <w:iCs/>
          <w:sz w:val="22"/>
        </w:rPr>
        <w:tab/>
      </w:r>
      <w:r w:rsidR="00457FE7" w:rsidRPr="00021243">
        <w:rPr>
          <w:iCs/>
          <w:sz w:val="22"/>
        </w:rPr>
        <w:t>May</w:t>
      </w:r>
      <w:r w:rsidRPr="00021243">
        <w:rPr>
          <w:iCs/>
          <w:sz w:val="22"/>
        </w:rPr>
        <w:t xml:space="preserve"> </w:t>
      </w:r>
      <w:r w:rsidR="005F0FEA" w:rsidRPr="00021243">
        <w:rPr>
          <w:iCs/>
          <w:sz w:val="22"/>
        </w:rPr>
        <w:t>1</w:t>
      </w:r>
      <w:r w:rsidR="00457FE7" w:rsidRPr="00021243">
        <w:rPr>
          <w:iCs/>
          <w:sz w:val="22"/>
        </w:rPr>
        <w:t>2</w:t>
      </w:r>
      <w:r w:rsidR="005F0FEA" w:rsidRPr="00021243">
        <w:rPr>
          <w:iCs/>
          <w:sz w:val="22"/>
        </w:rPr>
        <w:t>,</w:t>
      </w:r>
      <w:r w:rsidRPr="00021243">
        <w:rPr>
          <w:iCs/>
          <w:sz w:val="22"/>
        </w:rPr>
        <w:t xml:space="preserve"> 201</w:t>
      </w:r>
      <w:r w:rsidR="00457FE7" w:rsidRPr="00021243">
        <w:rPr>
          <w:iCs/>
          <w:sz w:val="22"/>
        </w:rPr>
        <w:t>4</w:t>
      </w:r>
    </w:p>
    <w:p w:rsidR="000B6A6F" w:rsidRPr="00021243" w:rsidRDefault="000B6A6F" w:rsidP="0060249E">
      <w:pPr>
        <w:tabs>
          <w:tab w:val="left" w:pos="-720"/>
        </w:tabs>
        <w:suppressAutoHyphens/>
        <w:spacing w:after="240"/>
        <w:jc w:val="both"/>
        <w:rPr>
          <w:iCs/>
          <w:sz w:val="22"/>
        </w:rPr>
      </w:pPr>
    </w:p>
    <w:p w:rsidR="000B6A6F" w:rsidRPr="00021243" w:rsidRDefault="000B6A6F" w:rsidP="0060249E">
      <w:pPr>
        <w:tabs>
          <w:tab w:val="left" w:pos="-720"/>
        </w:tabs>
        <w:suppressAutoHyphens/>
        <w:spacing w:after="240"/>
        <w:jc w:val="both"/>
        <w:rPr>
          <w:iCs/>
          <w:sz w:val="22"/>
        </w:rPr>
      </w:pPr>
      <w:r w:rsidRPr="00021243">
        <w:rPr>
          <w:iCs/>
          <w:sz w:val="22"/>
        </w:rPr>
        <w:tab/>
      </w:r>
      <w:r w:rsidRPr="00021243">
        <w:rPr>
          <w:iCs/>
          <w:sz w:val="22"/>
        </w:rPr>
        <w:tab/>
      </w:r>
      <w:r w:rsidRPr="00021243">
        <w:rPr>
          <w:iCs/>
          <w:sz w:val="22"/>
        </w:rPr>
        <w:tab/>
      </w:r>
      <w:r w:rsidRPr="00021243">
        <w:rPr>
          <w:iCs/>
          <w:sz w:val="22"/>
        </w:rPr>
        <w:tab/>
      </w:r>
      <w:r w:rsidRPr="00021243">
        <w:rPr>
          <w:iCs/>
          <w:sz w:val="22"/>
        </w:rPr>
        <w:tab/>
      </w:r>
      <w:r w:rsidRPr="00021243">
        <w:rPr>
          <w:iCs/>
          <w:sz w:val="22"/>
        </w:rPr>
        <w:tab/>
      </w:r>
      <w:r w:rsidRPr="00021243">
        <w:rPr>
          <w:iCs/>
          <w:sz w:val="22"/>
        </w:rPr>
        <w:tab/>
        <w:t>TRAC INTERMODAL LLC</w:t>
      </w:r>
    </w:p>
    <w:p w:rsidR="000B6A6F" w:rsidRPr="00021243" w:rsidRDefault="000B6A6F" w:rsidP="0060249E">
      <w:pPr>
        <w:tabs>
          <w:tab w:val="left" w:pos="-720"/>
        </w:tabs>
        <w:suppressAutoHyphens/>
        <w:spacing w:after="240"/>
        <w:jc w:val="both"/>
        <w:rPr>
          <w:iCs/>
          <w:sz w:val="22"/>
        </w:rPr>
      </w:pPr>
      <w:r w:rsidRPr="00021243">
        <w:rPr>
          <w:iCs/>
          <w:sz w:val="22"/>
        </w:rPr>
        <w:tab/>
      </w:r>
      <w:r w:rsidRPr="00021243">
        <w:rPr>
          <w:iCs/>
          <w:sz w:val="22"/>
        </w:rPr>
        <w:tab/>
      </w:r>
      <w:r w:rsidRPr="00021243">
        <w:rPr>
          <w:iCs/>
          <w:sz w:val="22"/>
        </w:rPr>
        <w:tab/>
      </w:r>
      <w:r w:rsidRPr="00021243">
        <w:rPr>
          <w:iCs/>
          <w:sz w:val="22"/>
        </w:rPr>
        <w:tab/>
      </w:r>
      <w:r w:rsidRPr="00021243">
        <w:rPr>
          <w:iCs/>
          <w:sz w:val="22"/>
        </w:rPr>
        <w:tab/>
      </w:r>
      <w:r w:rsidRPr="00021243">
        <w:rPr>
          <w:iCs/>
          <w:sz w:val="22"/>
        </w:rPr>
        <w:tab/>
      </w:r>
      <w:r w:rsidRPr="00021243">
        <w:rPr>
          <w:iCs/>
          <w:sz w:val="22"/>
        </w:rPr>
        <w:tab/>
        <w:t>Registrant</w:t>
      </w:r>
    </w:p>
    <w:p w:rsidR="000B6A6F" w:rsidRPr="00021243" w:rsidRDefault="000B6A6F" w:rsidP="0060249E">
      <w:pPr>
        <w:tabs>
          <w:tab w:val="left" w:pos="-720"/>
        </w:tabs>
        <w:suppressAutoHyphens/>
        <w:spacing w:after="240"/>
        <w:jc w:val="both"/>
        <w:rPr>
          <w:iCs/>
          <w:sz w:val="22"/>
        </w:rPr>
      </w:pPr>
    </w:p>
    <w:p w:rsidR="000B6A6F" w:rsidRPr="00021243" w:rsidRDefault="000B6A6F" w:rsidP="0060249E">
      <w:pPr>
        <w:tabs>
          <w:tab w:val="left" w:pos="-720"/>
        </w:tabs>
        <w:suppressAutoHyphens/>
        <w:spacing w:after="240"/>
        <w:jc w:val="both"/>
        <w:rPr>
          <w:iCs/>
          <w:sz w:val="22"/>
        </w:rPr>
      </w:pPr>
    </w:p>
    <w:p w:rsidR="00FE1A52" w:rsidRPr="00021243" w:rsidRDefault="000B6A6F" w:rsidP="0060249E">
      <w:pPr>
        <w:tabs>
          <w:tab w:val="left" w:pos="-720"/>
        </w:tabs>
        <w:suppressAutoHyphens/>
        <w:spacing w:after="240"/>
        <w:jc w:val="both"/>
        <w:rPr>
          <w:iCs/>
          <w:sz w:val="22"/>
        </w:rPr>
      </w:pPr>
      <w:r w:rsidRPr="00021243">
        <w:rPr>
          <w:iCs/>
          <w:sz w:val="22"/>
        </w:rPr>
        <w:tab/>
      </w:r>
      <w:r w:rsidRPr="00021243">
        <w:rPr>
          <w:iCs/>
          <w:sz w:val="22"/>
        </w:rPr>
        <w:tab/>
      </w:r>
      <w:r w:rsidRPr="00021243">
        <w:rPr>
          <w:iCs/>
          <w:sz w:val="22"/>
        </w:rPr>
        <w:tab/>
      </w:r>
      <w:r w:rsidRPr="00021243">
        <w:rPr>
          <w:iCs/>
          <w:sz w:val="22"/>
        </w:rPr>
        <w:tab/>
      </w:r>
      <w:r w:rsidRPr="00021243">
        <w:rPr>
          <w:iCs/>
          <w:sz w:val="22"/>
        </w:rPr>
        <w:tab/>
      </w:r>
      <w:r w:rsidRPr="00021243">
        <w:rPr>
          <w:iCs/>
          <w:sz w:val="22"/>
        </w:rPr>
        <w:tab/>
      </w:r>
      <w:r w:rsidRPr="00021243">
        <w:rPr>
          <w:iCs/>
          <w:sz w:val="22"/>
        </w:rPr>
        <w:tab/>
        <w:t>By</w:t>
      </w:r>
      <w:r w:rsidR="009A29F6" w:rsidRPr="00021243">
        <w:rPr>
          <w:iCs/>
          <w:sz w:val="22"/>
          <w:u w:val="single"/>
        </w:rPr>
        <w:t xml:space="preserve">: </w:t>
      </w:r>
      <w:r w:rsidRPr="00021243">
        <w:rPr>
          <w:iCs/>
          <w:sz w:val="22"/>
          <w:u w:val="single"/>
        </w:rPr>
        <w:t xml:space="preserve">  /</w:t>
      </w:r>
      <w:r w:rsidRPr="007A4196">
        <w:rPr>
          <w:iCs/>
          <w:sz w:val="22"/>
          <w:u w:val="single"/>
        </w:rPr>
        <w:t>s</w:t>
      </w:r>
      <w:r w:rsidRPr="00021243">
        <w:rPr>
          <w:iCs/>
          <w:sz w:val="22"/>
          <w:u w:val="single"/>
        </w:rPr>
        <w:t xml:space="preserve">/ CHRIS ANNESE  </w:t>
      </w:r>
      <w:r w:rsidR="009A29F6" w:rsidRPr="00021243">
        <w:rPr>
          <w:iCs/>
          <w:sz w:val="22"/>
          <w:u w:val="single"/>
        </w:rPr>
        <w:t xml:space="preserve">                      </w:t>
      </w:r>
      <w:r w:rsidRPr="00021243">
        <w:rPr>
          <w:iCs/>
          <w:sz w:val="22"/>
          <w:u w:val="single"/>
        </w:rPr>
        <w:t xml:space="preserve">  </w:t>
      </w:r>
      <w:r w:rsidRPr="00021243">
        <w:rPr>
          <w:iCs/>
          <w:sz w:val="22"/>
        </w:rPr>
        <w:t xml:space="preserve">                      </w:t>
      </w:r>
      <w:r w:rsidRPr="00021243">
        <w:rPr>
          <w:iCs/>
          <w:sz w:val="22"/>
        </w:rPr>
        <w:tab/>
      </w:r>
    </w:p>
    <w:p w:rsidR="00845566" w:rsidRPr="00021243" w:rsidRDefault="00845566" w:rsidP="00845566">
      <w:pPr>
        <w:tabs>
          <w:tab w:val="left" w:pos="-720"/>
          <w:tab w:val="left" w:pos="5040"/>
        </w:tabs>
        <w:suppressAutoHyphens/>
        <w:spacing w:after="240"/>
        <w:ind w:left="5040"/>
        <w:jc w:val="both"/>
        <w:rPr>
          <w:iCs/>
          <w:sz w:val="22"/>
        </w:rPr>
      </w:pPr>
      <w:r w:rsidRPr="00021243">
        <w:rPr>
          <w:iCs/>
          <w:sz w:val="22"/>
        </w:rPr>
        <w:t>Chris Annese</w:t>
      </w:r>
      <w:r w:rsidR="009A29F6" w:rsidRPr="00021243">
        <w:rPr>
          <w:iCs/>
          <w:sz w:val="22"/>
        </w:rPr>
        <w:t xml:space="preserve"> </w:t>
      </w:r>
    </w:p>
    <w:p w:rsidR="00845566" w:rsidRDefault="00845566" w:rsidP="00845566">
      <w:pPr>
        <w:tabs>
          <w:tab w:val="left" w:pos="-720"/>
          <w:tab w:val="left" w:pos="5040"/>
        </w:tabs>
        <w:suppressAutoHyphens/>
        <w:spacing w:after="240"/>
        <w:ind w:left="5040"/>
        <w:jc w:val="both"/>
        <w:rPr>
          <w:iCs/>
          <w:sz w:val="22"/>
        </w:rPr>
      </w:pPr>
      <w:r w:rsidRPr="00021243">
        <w:rPr>
          <w:i/>
          <w:iCs/>
          <w:sz w:val="22"/>
        </w:rPr>
        <w:t>Chief Financial Officer (Principal Financial Officer and Principal Accounting Officer)</w:t>
      </w:r>
      <w:r>
        <w:rPr>
          <w:i/>
          <w:iCs/>
          <w:sz w:val="22"/>
        </w:rPr>
        <w:t xml:space="preserve"> </w:t>
      </w:r>
    </w:p>
    <w:p w:rsidR="009A29F6" w:rsidRDefault="009A29F6" w:rsidP="009A29F6">
      <w:pPr>
        <w:tabs>
          <w:tab w:val="left" w:pos="-720"/>
          <w:tab w:val="left" w:pos="5040"/>
        </w:tabs>
        <w:suppressAutoHyphens/>
        <w:spacing w:after="240"/>
        <w:ind w:left="5040"/>
        <w:jc w:val="both"/>
        <w:rPr>
          <w:iCs/>
          <w:sz w:val="22"/>
        </w:rPr>
      </w:pPr>
      <w:r>
        <w:rPr>
          <w:iCs/>
          <w:sz w:val="22"/>
        </w:rPr>
        <w:t xml:space="preserve"> </w:t>
      </w:r>
      <w:r w:rsidRPr="009A29F6">
        <w:rPr>
          <w:iCs/>
          <w:sz w:val="22"/>
        </w:rPr>
        <w:t xml:space="preserve"> </w:t>
      </w:r>
    </w:p>
    <w:p w:rsidR="00845566" w:rsidRPr="00845566" w:rsidRDefault="00845566" w:rsidP="00845566">
      <w:pPr>
        <w:tabs>
          <w:tab w:val="left" w:pos="-720"/>
        </w:tabs>
        <w:suppressAutoHyphens/>
        <w:spacing w:after="240"/>
        <w:ind w:left="720"/>
        <w:jc w:val="both"/>
        <w:rPr>
          <w:iCs/>
          <w:sz w:val="22"/>
        </w:rPr>
      </w:pPr>
      <w:r>
        <w:rPr>
          <w:iCs/>
          <w:sz w:val="22"/>
        </w:rPr>
        <w:tab/>
      </w:r>
      <w:r>
        <w:rPr>
          <w:iCs/>
          <w:sz w:val="22"/>
        </w:rPr>
        <w:tab/>
      </w:r>
    </w:p>
    <w:p w:rsidR="00FE1A52" w:rsidRPr="00FE1A52" w:rsidRDefault="009A29F6" w:rsidP="009A29F6">
      <w:pPr>
        <w:tabs>
          <w:tab w:val="left" w:pos="-720"/>
        </w:tabs>
        <w:suppressAutoHyphens/>
        <w:spacing w:after="240"/>
        <w:jc w:val="both"/>
        <w:rPr>
          <w:iCs/>
          <w:sz w:val="22"/>
        </w:rPr>
      </w:pPr>
      <w:r>
        <w:rPr>
          <w:i/>
          <w:iCs/>
          <w:sz w:val="22"/>
        </w:rPr>
        <w:t xml:space="preserve"> </w:t>
      </w:r>
    </w:p>
    <w:sectPr w:rsidR="00FE1A52" w:rsidRPr="00FE1A52" w:rsidSect="00373546">
      <w:headerReference w:type="even" r:id="rId26"/>
      <w:headerReference w:type="default" r:id="rId27"/>
      <w:headerReference w:type="first" r:id="rId28"/>
      <w:pgSz w:w="12240" w:h="15840"/>
      <w:pgMar w:top="1800" w:right="1080" w:bottom="108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74" w:rsidRDefault="00F12B74">
      <w:pPr>
        <w:widowControl/>
        <w:spacing w:line="20" w:lineRule="exact"/>
        <w:rPr>
          <w:sz w:val="24"/>
          <w:szCs w:val="24"/>
        </w:rPr>
      </w:pPr>
    </w:p>
  </w:endnote>
  <w:endnote w:type="continuationSeparator" w:id="0">
    <w:p w:rsidR="00F12B74" w:rsidRDefault="00F12B74" w:rsidP="00CA14BE">
      <w:r>
        <w:rPr>
          <w:sz w:val="24"/>
          <w:szCs w:val="24"/>
        </w:rPr>
        <w:t xml:space="preserve"> </w:t>
      </w:r>
    </w:p>
  </w:endnote>
  <w:endnote w:type="continuationNotice" w:id="1">
    <w:p w:rsidR="00F12B74" w:rsidRDefault="00F12B74" w:rsidP="00CA14B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 Gothic Comp Book">
    <w:altName w:val="Times New Roman"/>
    <w:charset w:val="00"/>
    <w:family w:val="auto"/>
    <w:pitch w:val="variable"/>
    <w:sig w:usb0="00000001" w:usb1="00000040" w:usb2="00000000" w:usb3="00000000" w:csb0="00000009" w:csb1="00000000"/>
  </w:font>
  <w:font w:name="Times">
    <w:panose1 w:val="02020603050405020304"/>
    <w:charset w:val="00"/>
    <w:family w:val="roman"/>
    <w:pitch w:val="variable"/>
    <w:sig w:usb0="E0002AFF" w:usb1="C0007841" w:usb2="00000009" w:usb3="00000000" w:csb0="000001FF"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CC3A93" w:rsidP="004C5014">
    <w:pPr>
      <w:pStyle w:val="DocId"/>
    </w:pPr>
    <w:r>
      <w:fldChar w:fldCharType="begin"/>
    </w:r>
    <w:r>
      <w:instrText xml:space="preserve"> DOCPROPERTY DocXDocID DMS=InterwovenIManage Format=[&lt;&lt;LIB&gt;&gt; &lt;&lt;NUM&gt;&gt;_&lt;&lt;VER&gt;&gt;] PRESERVELOCATION \* MERGEFORMAT </w:instrText>
    </w:r>
    <w:r>
      <w:fldChar w:fldCharType="separate"/>
    </w:r>
    <w:r>
      <w:t>[NEWYORK 2767817_5]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rsidP="00DA04CF">
    <w:pPr>
      <w:pStyle w:val="Footer"/>
      <w:jc w:val="center"/>
    </w:pPr>
    <w:r>
      <w:fldChar w:fldCharType="begin"/>
    </w:r>
    <w:r>
      <w:instrText xml:space="preserve"> PAGE   \* MERGEFORMAT </w:instrText>
    </w:r>
    <w:r>
      <w:fldChar w:fldCharType="separate"/>
    </w:r>
    <w:r w:rsidR="00CC3A93">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74" w:rsidRDefault="00F12B74" w:rsidP="00CA14BE">
      <w:r>
        <w:rPr>
          <w:sz w:val="24"/>
          <w:szCs w:val="24"/>
        </w:rPr>
        <w:separator/>
      </w:r>
    </w:p>
  </w:footnote>
  <w:footnote w:type="continuationSeparator" w:id="0">
    <w:p w:rsidR="00F12B74" w:rsidRDefault="00F12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Pr="007E2935" w:rsidRDefault="00F12B74" w:rsidP="007E293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rsidP="00FE1A52">
    <w:pPr>
      <w:widowControl/>
      <w:tabs>
        <w:tab w:val="center" w:pos="5400"/>
      </w:tabs>
      <w:suppressAutoHyphens/>
      <w:spacing w:after="240"/>
      <w:rPr>
        <w:b/>
        <w:bCs/>
        <w:sz w:val="22"/>
      </w:rPr>
    </w:pPr>
    <w:r w:rsidRPr="00D23678">
      <w:rPr>
        <w:b/>
        <w:bCs/>
        <w:sz w:val="22"/>
      </w:rPr>
      <w:t xml:space="preserve">PART </w:t>
    </w:r>
    <w:r>
      <w:rPr>
        <w:b/>
        <w:bCs/>
        <w:sz w:val="22"/>
      </w:rPr>
      <w:t>II.  OTHER INFORMATION</w:t>
    </w:r>
  </w:p>
  <w:p w:rsidR="00F12B74" w:rsidRDefault="00F12B74" w:rsidP="00C90132">
    <w:pPr>
      <w:pStyle w:val="Header"/>
    </w:pPr>
  </w:p>
  <w:p w:rsidR="00F12B74" w:rsidRDefault="00F12B74" w:rsidP="00245B2F">
    <w:pPr>
      <w:pStyle w:val="Header"/>
      <w:rPr>
        <w:b/>
      </w:rPr>
    </w:pPr>
    <w:r>
      <w:rPr>
        <w:b/>
      </w:rPr>
      <w:tab/>
    </w:r>
  </w:p>
  <w:p w:rsidR="00F12B74" w:rsidRPr="00BD0633" w:rsidRDefault="00F12B74" w:rsidP="00C90132">
    <w:pPr>
      <w:pStyle w:val="Header"/>
      <w:rPr>
        <w:b/>
      </w:rPr>
    </w:pPr>
    <w:r>
      <w:rPr>
        <w:b/>
      </w:rPr>
      <w:tab/>
    </w:r>
    <w:r w:rsidRPr="00BD0633">
      <w:rPr>
        <w:b/>
      </w:rPr>
      <w:tab/>
    </w:r>
  </w:p>
  <w:p w:rsidR="00F12B74" w:rsidRPr="00BD0633" w:rsidRDefault="00F12B74">
    <w:pPr>
      <w:pStyle w:val="Header"/>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rsidP="00845566">
    <w:pPr>
      <w:pStyle w:val="Header"/>
      <w:rPr>
        <w:b/>
      </w:rPr>
    </w:pPr>
    <w:r>
      <w:rPr>
        <w:b/>
      </w:rPr>
      <w:tab/>
    </w:r>
  </w:p>
  <w:p w:rsidR="00F12B74" w:rsidRPr="00BD0633" w:rsidRDefault="00F12B74" w:rsidP="00C90132">
    <w:pPr>
      <w:pStyle w:val="Header"/>
      <w:rPr>
        <w:b/>
      </w:rPr>
    </w:pPr>
    <w:r>
      <w:rPr>
        <w:b/>
      </w:rPr>
      <w:tab/>
    </w:r>
    <w:r w:rsidRPr="00BD0633">
      <w:rPr>
        <w:b/>
      </w:rPr>
      <w:tab/>
    </w:r>
  </w:p>
  <w:p w:rsidR="00F12B74" w:rsidRPr="00BD0633" w:rsidRDefault="00F12B74">
    <w:pPr>
      <w:pStyle w:val="Header"/>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rsidP="00C90132">
    <w:pPr>
      <w:pStyle w:val="Header"/>
    </w:pPr>
    <w:r>
      <w:tab/>
    </w:r>
  </w:p>
  <w:p w:rsidR="00F12B74" w:rsidRDefault="00F12B74" w:rsidP="00C90132">
    <w:pPr>
      <w:pStyle w:val="Header"/>
    </w:pPr>
    <w:r>
      <w:tab/>
    </w:r>
  </w:p>
  <w:p w:rsidR="00F12B74" w:rsidRDefault="00F12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Pr="00BD0633" w:rsidRDefault="00F12B74" w:rsidP="00C90132">
    <w:pPr>
      <w:pStyle w:val="Header"/>
      <w:rPr>
        <w:b/>
      </w:rPr>
    </w:pPr>
    <w:r>
      <w:tab/>
    </w:r>
    <w:r w:rsidRPr="00BD0633">
      <w:rPr>
        <w:b/>
      </w:rPr>
      <w:t>TRAC Intermodal LLC and Subsidiaries</w:t>
    </w:r>
  </w:p>
  <w:p w:rsidR="00F12B74" w:rsidRPr="00BD0633" w:rsidRDefault="00F12B74" w:rsidP="00C90132">
    <w:pPr>
      <w:pStyle w:val="Header"/>
      <w:rPr>
        <w:b/>
      </w:rPr>
    </w:pPr>
  </w:p>
  <w:p w:rsidR="00F12B74" w:rsidRPr="00BD0633" w:rsidRDefault="00F12B74" w:rsidP="00C90132">
    <w:pPr>
      <w:pStyle w:val="Header"/>
      <w:rPr>
        <w:b/>
      </w:rPr>
    </w:pPr>
    <w:r w:rsidRPr="00BD0633">
      <w:rPr>
        <w:b/>
      </w:rPr>
      <w:tab/>
      <w:t>Notes to Consolidated Financial Statements</w:t>
    </w:r>
    <w:r>
      <w:rPr>
        <w:b/>
      </w:rPr>
      <w:t xml:space="preserve"> – Unaudited (continued)</w:t>
    </w:r>
  </w:p>
  <w:p w:rsidR="00F12B74" w:rsidRDefault="00F12B74" w:rsidP="00C90132">
    <w:pPr>
      <w:pStyle w:val="Header"/>
      <w:rPr>
        <w:b/>
      </w:rPr>
    </w:pPr>
  </w:p>
  <w:p w:rsidR="00F12B74" w:rsidRDefault="00F12B74" w:rsidP="00C90132">
    <w:pPr>
      <w:pStyle w:val="Header"/>
      <w:rPr>
        <w:b/>
      </w:rPr>
    </w:pPr>
    <w:r>
      <w:rPr>
        <w:b/>
      </w:rPr>
      <w:tab/>
      <w:t>For the Three Months Ended March 31, 2014 and 2013</w:t>
    </w:r>
  </w:p>
  <w:p w:rsidR="00F12B74" w:rsidRPr="00BD0633" w:rsidRDefault="00F12B74" w:rsidP="00C90132">
    <w:pPr>
      <w:pStyle w:val="Header"/>
      <w:rPr>
        <w:b/>
      </w:rPr>
    </w:pPr>
  </w:p>
  <w:p w:rsidR="00F12B74" w:rsidRPr="00BD0633" w:rsidRDefault="00F12B74" w:rsidP="00C90132">
    <w:pPr>
      <w:pStyle w:val="Header"/>
      <w:rPr>
        <w:b/>
      </w:rPr>
    </w:pPr>
    <w:r w:rsidRPr="00BD0633">
      <w:rPr>
        <w:b/>
      </w:rPr>
      <w:tab/>
      <w:t>(Dollars in Thousands, Except for Share Amounts)</w:t>
    </w:r>
    <w:r w:rsidRPr="00BD0633">
      <w:rPr>
        <w:b/>
      </w:rPr>
      <w:tab/>
    </w:r>
  </w:p>
  <w:p w:rsidR="00F12B74" w:rsidRPr="00BD0633" w:rsidRDefault="00F12B74">
    <w:pPr>
      <w:pStyle w:val="Head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rsidP="00183789">
    <w:pPr>
      <w:widowControl/>
      <w:tabs>
        <w:tab w:val="center" w:pos="5400"/>
      </w:tabs>
      <w:suppressAutoHyphens/>
      <w:spacing w:after="240"/>
      <w:rPr>
        <w:b/>
        <w:bCs/>
        <w:sz w:val="22"/>
      </w:rPr>
    </w:pPr>
    <w:r w:rsidRPr="00D23678">
      <w:rPr>
        <w:b/>
        <w:bCs/>
        <w:sz w:val="22"/>
      </w:rPr>
      <w:t>PART I. FINANCIAL INFORMATION</w:t>
    </w:r>
  </w:p>
  <w:p w:rsidR="00F12B74" w:rsidRPr="007D5C4A" w:rsidRDefault="00F12B74" w:rsidP="00183789">
    <w:pPr>
      <w:widowControl/>
      <w:tabs>
        <w:tab w:val="left" w:pos="0"/>
      </w:tabs>
      <w:suppressAutoHyphens/>
      <w:spacing w:after="240"/>
      <w:rPr>
        <w:b/>
        <w:bCs/>
        <w:sz w:val="22"/>
      </w:rPr>
    </w:pPr>
    <w:r>
      <w:rPr>
        <w:b/>
        <w:bCs/>
        <w:sz w:val="22"/>
      </w:rPr>
      <w:t>Item 2.  Management’s Discussion and Analysis of Financial Condition and Results of Operations</w:t>
    </w:r>
  </w:p>
  <w:p w:rsidR="00F12B74" w:rsidRDefault="00F12B74" w:rsidP="00183789">
    <w:pPr>
      <w:pStyle w:val="Header"/>
    </w:pPr>
  </w:p>
  <w:p w:rsidR="00F12B74" w:rsidRPr="00BD0633" w:rsidRDefault="00F12B74" w:rsidP="00183789">
    <w:pPr>
      <w:pStyle w:val="Header"/>
      <w:rPr>
        <w:b/>
      </w:rPr>
    </w:pPr>
    <w:r>
      <w:rPr>
        <w:b/>
      </w:rPr>
      <w:tab/>
    </w:r>
    <w:r w:rsidRPr="00BD0633">
      <w:rPr>
        <w:b/>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4" w:rsidRDefault="00F12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0C1606"/>
    <w:multiLevelType w:val="hybridMultilevel"/>
    <w:tmpl w:val="D60643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9C82C84C"/>
    <w:lvl w:ilvl="0">
      <w:start w:val="1"/>
      <w:numFmt w:val="decimal"/>
      <w:lvlText w:val="%1."/>
      <w:lvlJc w:val="left"/>
      <w:pPr>
        <w:tabs>
          <w:tab w:val="num" w:pos="1800"/>
        </w:tabs>
        <w:ind w:left="1800" w:hanging="360"/>
      </w:pPr>
    </w:lvl>
  </w:abstractNum>
  <w:abstractNum w:abstractNumId="2">
    <w:nsid w:val="FFFFFF7D"/>
    <w:multiLevelType w:val="singleLevel"/>
    <w:tmpl w:val="BFE4287C"/>
    <w:lvl w:ilvl="0">
      <w:start w:val="1"/>
      <w:numFmt w:val="lowerLetter"/>
      <w:lvlText w:val="(%1)"/>
      <w:lvlJc w:val="left"/>
      <w:pPr>
        <w:tabs>
          <w:tab w:val="num" w:pos="1800"/>
        </w:tabs>
        <w:ind w:left="0" w:firstLine="1440"/>
      </w:pPr>
      <w:rPr>
        <w:rFonts w:hint="default"/>
      </w:rPr>
    </w:lvl>
  </w:abstractNum>
  <w:abstractNum w:abstractNumId="3">
    <w:nsid w:val="FFFFFF7E"/>
    <w:multiLevelType w:val="singleLevel"/>
    <w:tmpl w:val="A588C8EC"/>
    <w:lvl w:ilvl="0">
      <w:start w:val="1"/>
      <w:numFmt w:val="decimal"/>
      <w:lvlText w:val="%1."/>
      <w:lvlJc w:val="left"/>
      <w:pPr>
        <w:tabs>
          <w:tab w:val="num" w:pos="1080"/>
        </w:tabs>
        <w:ind w:left="0" w:firstLine="720"/>
      </w:pPr>
      <w:rPr>
        <w:rFonts w:hint="default"/>
      </w:rPr>
    </w:lvl>
  </w:abstractNum>
  <w:abstractNum w:abstractNumId="4">
    <w:nsid w:val="FFFFFF7F"/>
    <w:multiLevelType w:val="singleLevel"/>
    <w:tmpl w:val="0730FFA2"/>
    <w:lvl w:ilvl="0">
      <w:start w:val="1"/>
      <w:numFmt w:val="decimal"/>
      <w:lvlText w:val="(%1)"/>
      <w:lvlJc w:val="left"/>
      <w:pPr>
        <w:tabs>
          <w:tab w:val="num" w:pos="1440"/>
        </w:tabs>
        <w:ind w:left="1440" w:hanging="720"/>
      </w:pPr>
      <w:rPr>
        <w:rFonts w:hint="default"/>
      </w:rPr>
    </w:lvl>
  </w:abstractNum>
  <w:abstractNum w:abstractNumId="5">
    <w:nsid w:val="FFFFFF80"/>
    <w:multiLevelType w:val="singleLevel"/>
    <w:tmpl w:val="1362DF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DC08A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7672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E3403A2"/>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9">
    <w:nsid w:val="FFFFFF88"/>
    <w:multiLevelType w:val="singleLevel"/>
    <w:tmpl w:val="E40C37E8"/>
    <w:lvl w:ilvl="0">
      <w:start w:val="1"/>
      <w:numFmt w:val="decimal"/>
      <w:lvlText w:val="(%1)"/>
      <w:lvlJc w:val="left"/>
      <w:pPr>
        <w:tabs>
          <w:tab w:val="num" w:pos="720"/>
        </w:tabs>
        <w:ind w:left="720" w:hanging="720"/>
      </w:pPr>
      <w:rPr>
        <w:rFonts w:hint="default"/>
      </w:rPr>
    </w:lvl>
  </w:abstractNum>
  <w:abstractNum w:abstractNumId="10">
    <w:nsid w:val="FFFFFF89"/>
    <w:multiLevelType w:val="singleLevel"/>
    <w:tmpl w:val="95464784"/>
    <w:lvl w:ilvl="0">
      <w:start w:val="1"/>
      <w:numFmt w:val="bullet"/>
      <w:lvlText w:val=""/>
      <w:lvlJc w:val="left"/>
      <w:pPr>
        <w:tabs>
          <w:tab w:val="num" w:pos="1080"/>
        </w:tabs>
        <w:ind w:left="1080" w:hanging="360"/>
      </w:pPr>
      <w:rPr>
        <w:rFonts w:ascii="Symbol" w:hAnsi="Symbol" w:hint="default"/>
      </w:rPr>
    </w:lvl>
  </w:abstractNum>
  <w:abstractNum w:abstractNumId="1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nsid w:val="002F2EE3"/>
    <w:multiLevelType w:val="hybridMultilevel"/>
    <w:tmpl w:val="14D80DD8"/>
    <w:lvl w:ilvl="0" w:tplc="714AA70C">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7712287"/>
    <w:multiLevelType w:val="hybridMultilevel"/>
    <w:tmpl w:val="B1745B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C91B1A"/>
    <w:multiLevelType w:val="hybridMultilevel"/>
    <w:tmpl w:val="CBEEEDCE"/>
    <w:lvl w:ilvl="0" w:tplc="7EB0B856">
      <w:start w:val="1"/>
      <w:numFmt w:val="bullet"/>
      <w:lvlText w:val=""/>
      <w:lvlJc w:val="left"/>
      <w:pPr>
        <w:tabs>
          <w:tab w:val="num" w:pos="1440"/>
        </w:tabs>
        <w:ind w:left="1440" w:hanging="360"/>
      </w:pPr>
      <w:rPr>
        <w:rFonts w:ascii="Symbol" w:hAnsi="Symbol" w:hint="default"/>
      </w:rPr>
    </w:lvl>
    <w:lvl w:ilvl="1" w:tplc="1FD0C980">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5">
    <w:nsid w:val="0F3171C8"/>
    <w:multiLevelType w:val="hybridMultilevel"/>
    <w:tmpl w:val="E102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5619D9"/>
    <w:multiLevelType w:val="hybridMultilevel"/>
    <w:tmpl w:val="8184180E"/>
    <w:lvl w:ilvl="0" w:tplc="01E634B0">
      <w:start w:val="1"/>
      <w:numFmt w:val="bullet"/>
      <w:lvlText w:val=""/>
      <w:lvlJc w:val="left"/>
      <w:pPr>
        <w:tabs>
          <w:tab w:val="num" w:pos="720"/>
        </w:tabs>
        <w:ind w:left="1152" w:hanging="79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0A944A9"/>
    <w:multiLevelType w:val="hybridMultilevel"/>
    <w:tmpl w:val="D8966E6C"/>
    <w:lvl w:ilvl="0" w:tplc="B4522A1A">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7B22CEF"/>
    <w:multiLevelType w:val="hybridMultilevel"/>
    <w:tmpl w:val="2B9ED976"/>
    <w:lvl w:ilvl="0" w:tplc="F944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64770"/>
    <w:multiLevelType w:val="hybridMultilevel"/>
    <w:tmpl w:val="DF7C139E"/>
    <w:lvl w:ilvl="0" w:tplc="714AC256">
      <w:start w:val="3"/>
      <w:numFmt w:val="bullet"/>
      <w:pStyle w:val="2ndBulletedBody"/>
      <w:lvlText w:val="—"/>
      <w:lvlJc w:val="left"/>
      <w:pPr>
        <w:tabs>
          <w:tab w:val="num" w:pos="1008"/>
        </w:tabs>
        <w:ind w:left="1008" w:hanging="360"/>
      </w:pPr>
      <w:rPr>
        <w:rFonts w:ascii="EY Gothic Comp Book" w:eastAsia="Times New Roman" w:hAnsi="EY Gothic Comp Book" w:cs="Times New Roman" w:hint="default"/>
        <w:color w:val="28539C"/>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FF70B1E"/>
    <w:multiLevelType w:val="hybridMultilevel"/>
    <w:tmpl w:val="4FC4A244"/>
    <w:lvl w:ilvl="0" w:tplc="6158FE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CF645E"/>
    <w:multiLevelType w:val="hybridMultilevel"/>
    <w:tmpl w:val="5FE0A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5544DBF"/>
    <w:multiLevelType w:val="hybridMultilevel"/>
    <w:tmpl w:val="B590E4CE"/>
    <w:lvl w:ilvl="0" w:tplc="C2523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35121"/>
    <w:multiLevelType w:val="hybridMultilevel"/>
    <w:tmpl w:val="6AC46EC0"/>
    <w:lvl w:ilvl="0" w:tplc="0F407F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A15BD9"/>
    <w:multiLevelType w:val="hybridMultilevel"/>
    <w:tmpl w:val="7AA0AE3E"/>
    <w:lvl w:ilvl="0" w:tplc="1778B28E">
      <w:start w:val="1"/>
      <w:numFmt w:val="lowerLetter"/>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BD1688"/>
    <w:multiLevelType w:val="hybridMultilevel"/>
    <w:tmpl w:val="20888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99D79E1"/>
    <w:multiLevelType w:val="hybridMultilevel"/>
    <w:tmpl w:val="48F8DDD6"/>
    <w:lvl w:ilvl="0" w:tplc="E4B0E5F0">
      <w:start w:val="1"/>
      <w:numFmt w:val="bullet"/>
      <w:lvlText w:val="•"/>
      <w:lvlJc w:val="left"/>
      <w:pPr>
        <w:tabs>
          <w:tab w:val="num" w:pos="2700"/>
        </w:tabs>
        <w:ind w:left="270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C42F74"/>
    <w:multiLevelType w:val="hybridMultilevel"/>
    <w:tmpl w:val="6322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6C54A3"/>
    <w:multiLevelType w:val="hybridMultilevel"/>
    <w:tmpl w:val="EC842166"/>
    <w:lvl w:ilvl="0" w:tplc="3D380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D026F6"/>
    <w:multiLevelType w:val="multilevel"/>
    <w:tmpl w:val="A5C63CA0"/>
    <w:name w:val="A"/>
    <w:lvl w:ilvl="0">
      <w:start w:val="1"/>
      <w:numFmt w:val="lowerRoman"/>
      <w:suff w:val="nothing"/>
      <w:lvlText w:val="(%1)"/>
      <w:lvlJc w:val="left"/>
      <w:pPr>
        <w:ind w:left="2520" w:hanging="360"/>
      </w:pPr>
      <w:rPr>
        <w:rFonts w:hint="default"/>
      </w:rPr>
    </w:lvl>
    <w:lvl w:ilvl="1">
      <w:start w:val="1"/>
      <w:numFmt w:val="lowerLetter"/>
      <w:suff w:val="nothing"/>
      <w:lvlText w:val="(%2)"/>
      <w:lvlJc w:val="left"/>
      <w:pPr>
        <w:ind w:left="2880" w:hanging="360"/>
      </w:pPr>
      <w:rPr>
        <w:rFonts w:hint="default"/>
      </w:rPr>
    </w:lvl>
    <w:lvl w:ilvl="2">
      <w:start w:val="1"/>
      <w:numFmt w:val="decimal"/>
      <w:suff w:val="nothing"/>
      <w:lvlText w:val="(%3)"/>
      <w:lvlJc w:val="left"/>
      <w:pPr>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30">
    <w:nsid w:val="41174B94"/>
    <w:multiLevelType w:val="hybridMultilevel"/>
    <w:tmpl w:val="FAE0F496"/>
    <w:lvl w:ilvl="0" w:tplc="1A907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8765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FA490B"/>
    <w:multiLevelType w:val="hybridMultilevel"/>
    <w:tmpl w:val="104A2E00"/>
    <w:lvl w:ilvl="0" w:tplc="04090001">
      <w:start w:val="5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111724"/>
    <w:multiLevelType w:val="hybridMultilevel"/>
    <w:tmpl w:val="CAE2EAE0"/>
    <w:lvl w:ilvl="0" w:tplc="01E634B0">
      <w:start w:val="1"/>
      <w:numFmt w:val="bullet"/>
      <w:lvlText w:val=""/>
      <w:lvlJc w:val="left"/>
      <w:pPr>
        <w:tabs>
          <w:tab w:val="num" w:pos="720"/>
        </w:tabs>
        <w:ind w:left="1152" w:hanging="79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74056D"/>
    <w:multiLevelType w:val="hybridMultilevel"/>
    <w:tmpl w:val="FF086192"/>
    <w:lvl w:ilvl="0" w:tplc="C3FE8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05879"/>
    <w:multiLevelType w:val="hybridMultilevel"/>
    <w:tmpl w:val="2900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B68EB"/>
    <w:multiLevelType w:val="hybridMultilevel"/>
    <w:tmpl w:val="28A00770"/>
    <w:lvl w:ilvl="0" w:tplc="5E4282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AE1927"/>
    <w:multiLevelType w:val="hybridMultilevel"/>
    <w:tmpl w:val="F95CEEAC"/>
    <w:lvl w:ilvl="0" w:tplc="940C3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8A380F"/>
    <w:multiLevelType w:val="hybridMultilevel"/>
    <w:tmpl w:val="2968097A"/>
    <w:lvl w:ilvl="0" w:tplc="1AE07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B5B54"/>
    <w:multiLevelType w:val="hybridMultilevel"/>
    <w:tmpl w:val="12583668"/>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453664"/>
    <w:multiLevelType w:val="hybridMultilevel"/>
    <w:tmpl w:val="497C991A"/>
    <w:lvl w:ilvl="0" w:tplc="AD2A9EE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026C17"/>
    <w:multiLevelType w:val="hybridMultilevel"/>
    <w:tmpl w:val="568ED5F2"/>
    <w:lvl w:ilvl="0" w:tplc="D09C6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784D95"/>
    <w:multiLevelType w:val="hybridMultilevel"/>
    <w:tmpl w:val="78141BDE"/>
    <w:lvl w:ilvl="0" w:tplc="722EC4E0">
      <w:start w:val="32"/>
      <w:numFmt w:val="bullet"/>
      <w:lvlText w:val="•"/>
      <w:lvlJc w:val="left"/>
      <w:pPr>
        <w:ind w:left="1080" w:hanging="360"/>
      </w:pPr>
      <w:rPr>
        <w:rFonts w:ascii="Times" w:eastAsia="Times New Roman" w:hAnsi="Times" w:cs="Time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E25099"/>
    <w:multiLevelType w:val="hybridMultilevel"/>
    <w:tmpl w:val="BDE45278"/>
    <w:lvl w:ilvl="0" w:tplc="694C2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34"/>
  </w:num>
  <w:num w:numId="4">
    <w:abstractNumId w:val="43"/>
  </w:num>
  <w:num w:numId="5">
    <w:abstractNumId w:val="19"/>
  </w:num>
  <w:num w:numId="6">
    <w:abstractNumId w:val="10"/>
  </w:num>
  <w:num w:numId="7">
    <w:abstractNumId w:val="8"/>
  </w:num>
  <w:num w:numId="8">
    <w:abstractNumId w:val="7"/>
  </w:num>
  <w:num w:numId="9">
    <w:abstractNumId w:val="6"/>
  </w:num>
  <w:num w:numId="10">
    <w:abstractNumId w:val="9"/>
  </w:num>
  <w:num w:numId="11">
    <w:abstractNumId w:val="4"/>
  </w:num>
  <w:num w:numId="12">
    <w:abstractNumId w:val="3"/>
  </w:num>
  <w:num w:numId="13">
    <w:abstractNumId w:val="2"/>
  </w:num>
  <w:num w:numId="14">
    <w:abstractNumId w:val="1"/>
  </w:num>
  <w:num w:numId="15">
    <w:abstractNumId w:val="29"/>
  </w:num>
  <w:num w:numId="16">
    <w:abstractNumId w:val="2"/>
    <w:lvlOverride w:ilvl="0">
      <w:startOverride w:val="1"/>
    </w:lvlOverride>
  </w:num>
  <w:num w:numId="17">
    <w:abstractNumId w:val="3"/>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14"/>
  </w:num>
  <w:num w:numId="21">
    <w:abstractNumId w:val="40"/>
  </w:num>
  <w:num w:numId="22">
    <w:abstractNumId w:val="20"/>
  </w:num>
  <w:num w:numId="23">
    <w:abstractNumId w:val="0"/>
  </w:num>
  <w:num w:numId="24">
    <w:abstractNumId w:val="25"/>
  </w:num>
  <w:num w:numId="25">
    <w:abstractNumId w:val="13"/>
  </w:num>
  <w:num w:numId="26">
    <w:abstractNumId w:val="33"/>
  </w:num>
  <w:num w:numId="27">
    <w:abstractNumId w:val="16"/>
  </w:num>
  <w:num w:numId="28">
    <w:abstractNumId w:val="21"/>
  </w:num>
  <w:num w:numId="29">
    <w:abstractNumId w:val="26"/>
  </w:num>
  <w:num w:numId="30">
    <w:abstractNumId w:val="17"/>
  </w:num>
  <w:num w:numId="31">
    <w:abstractNumId w:val="38"/>
  </w:num>
  <w:num w:numId="32">
    <w:abstractNumId w:val="27"/>
  </w:num>
  <w:num w:numId="33">
    <w:abstractNumId w:val="22"/>
  </w:num>
  <w:num w:numId="34">
    <w:abstractNumId w:val="32"/>
  </w:num>
  <w:num w:numId="35">
    <w:abstractNumId w:val="5"/>
  </w:num>
  <w:num w:numId="36">
    <w:abstractNumId w:val="31"/>
  </w:num>
  <w:num w:numId="37">
    <w:abstractNumId w:val="35"/>
  </w:num>
  <w:num w:numId="38">
    <w:abstractNumId w:val="23"/>
  </w:num>
  <w:num w:numId="39">
    <w:abstractNumId w:val="30"/>
  </w:num>
  <w:num w:numId="40">
    <w:abstractNumId w:val="24"/>
  </w:num>
  <w:num w:numId="41">
    <w:abstractNumId w:val="15"/>
  </w:num>
  <w:num w:numId="42">
    <w:abstractNumId w:val="37"/>
  </w:num>
  <w:num w:numId="43">
    <w:abstractNumId w:val="41"/>
  </w:num>
  <w:num w:numId="44">
    <w:abstractNumId w:val="18"/>
  </w:num>
  <w:num w:numId="45">
    <w:abstractNumId w:val="12"/>
  </w:num>
  <w:num w:numId="46">
    <w:abstractNumId w:val="39"/>
  </w:num>
  <w:num w:numId="47">
    <w:abstractNumId w:val="4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9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0353"/>
  </w:hdrShapeDefaults>
  <w:footnotePr>
    <w:footnote w:id="-1"/>
    <w:footnote w:id="0"/>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ddin" w:val="DL Readback.dot"/>
    <w:docVar w:name="ReadbackLevel" w:val="2"/>
  </w:docVars>
  <w:rsids>
    <w:rsidRoot w:val="00CA14BE"/>
    <w:rsid w:val="000000C0"/>
    <w:rsid w:val="0000086D"/>
    <w:rsid w:val="00001C66"/>
    <w:rsid w:val="00001EF3"/>
    <w:rsid w:val="00002135"/>
    <w:rsid w:val="000024C4"/>
    <w:rsid w:val="0000251B"/>
    <w:rsid w:val="000027F1"/>
    <w:rsid w:val="0000296A"/>
    <w:rsid w:val="00003D7A"/>
    <w:rsid w:val="00004977"/>
    <w:rsid w:val="00004B13"/>
    <w:rsid w:val="00006D83"/>
    <w:rsid w:val="00007B2E"/>
    <w:rsid w:val="000107D1"/>
    <w:rsid w:val="000109B5"/>
    <w:rsid w:val="00014270"/>
    <w:rsid w:val="000142FD"/>
    <w:rsid w:val="00014B1E"/>
    <w:rsid w:val="00015221"/>
    <w:rsid w:val="000153A2"/>
    <w:rsid w:val="000164FB"/>
    <w:rsid w:val="00021243"/>
    <w:rsid w:val="000226CB"/>
    <w:rsid w:val="00025B13"/>
    <w:rsid w:val="000264EA"/>
    <w:rsid w:val="0002668B"/>
    <w:rsid w:val="00026A52"/>
    <w:rsid w:val="000278D6"/>
    <w:rsid w:val="00027E12"/>
    <w:rsid w:val="00030432"/>
    <w:rsid w:val="00030E96"/>
    <w:rsid w:val="00030FBA"/>
    <w:rsid w:val="00031577"/>
    <w:rsid w:val="0003228A"/>
    <w:rsid w:val="000324FF"/>
    <w:rsid w:val="000327B5"/>
    <w:rsid w:val="000328F4"/>
    <w:rsid w:val="00032A9B"/>
    <w:rsid w:val="00032E13"/>
    <w:rsid w:val="000332C5"/>
    <w:rsid w:val="0003372C"/>
    <w:rsid w:val="00033CA5"/>
    <w:rsid w:val="00033F0E"/>
    <w:rsid w:val="0003426D"/>
    <w:rsid w:val="0003457E"/>
    <w:rsid w:val="00035409"/>
    <w:rsid w:val="000361CA"/>
    <w:rsid w:val="00037C63"/>
    <w:rsid w:val="00037C6E"/>
    <w:rsid w:val="000400C1"/>
    <w:rsid w:val="0004019A"/>
    <w:rsid w:val="00042239"/>
    <w:rsid w:val="00042719"/>
    <w:rsid w:val="00043DF3"/>
    <w:rsid w:val="00045ACD"/>
    <w:rsid w:val="00046011"/>
    <w:rsid w:val="00046377"/>
    <w:rsid w:val="00046F6C"/>
    <w:rsid w:val="00047443"/>
    <w:rsid w:val="0005102D"/>
    <w:rsid w:val="00052666"/>
    <w:rsid w:val="000538F6"/>
    <w:rsid w:val="00054989"/>
    <w:rsid w:val="00054BA1"/>
    <w:rsid w:val="00054C77"/>
    <w:rsid w:val="00056240"/>
    <w:rsid w:val="00056618"/>
    <w:rsid w:val="00057DD9"/>
    <w:rsid w:val="000602AD"/>
    <w:rsid w:val="00060F53"/>
    <w:rsid w:val="000613E8"/>
    <w:rsid w:val="000615A5"/>
    <w:rsid w:val="0006163E"/>
    <w:rsid w:val="000619DA"/>
    <w:rsid w:val="00061A42"/>
    <w:rsid w:val="00062863"/>
    <w:rsid w:val="00062911"/>
    <w:rsid w:val="00063405"/>
    <w:rsid w:val="0006379C"/>
    <w:rsid w:val="00064D60"/>
    <w:rsid w:val="000658DF"/>
    <w:rsid w:val="00065F28"/>
    <w:rsid w:val="00070530"/>
    <w:rsid w:val="0007084C"/>
    <w:rsid w:val="00070C0A"/>
    <w:rsid w:val="0007101E"/>
    <w:rsid w:val="0007195E"/>
    <w:rsid w:val="00072115"/>
    <w:rsid w:val="00072ABA"/>
    <w:rsid w:val="00073843"/>
    <w:rsid w:val="000749E2"/>
    <w:rsid w:val="00074A1D"/>
    <w:rsid w:val="00074E13"/>
    <w:rsid w:val="00075F90"/>
    <w:rsid w:val="0007637D"/>
    <w:rsid w:val="000775AB"/>
    <w:rsid w:val="0008006A"/>
    <w:rsid w:val="00080077"/>
    <w:rsid w:val="00080689"/>
    <w:rsid w:val="00080778"/>
    <w:rsid w:val="00080978"/>
    <w:rsid w:val="0008198C"/>
    <w:rsid w:val="000821C8"/>
    <w:rsid w:val="00082B27"/>
    <w:rsid w:val="000837B0"/>
    <w:rsid w:val="0008392F"/>
    <w:rsid w:val="00084933"/>
    <w:rsid w:val="00084DC4"/>
    <w:rsid w:val="00084F78"/>
    <w:rsid w:val="0008566A"/>
    <w:rsid w:val="00086963"/>
    <w:rsid w:val="00087516"/>
    <w:rsid w:val="00087B8C"/>
    <w:rsid w:val="00087DFB"/>
    <w:rsid w:val="000901F3"/>
    <w:rsid w:val="00092B9E"/>
    <w:rsid w:val="0009338E"/>
    <w:rsid w:val="000937AF"/>
    <w:rsid w:val="00093F15"/>
    <w:rsid w:val="00094227"/>
    <w:rsid w:val="000944D2"/>
    <w:rsid w:val="00094710"/>
    <w:rsid w:val="00095424"/>
    <w:rsid w:val="00095CA9"/>
    <w:rsid w:val="000A03F1"/>
    <w:rsid w:val="000A0CA9"/>
    <w:rsid w:val="000A1BE1"/>
    <w:rsid w:val="000A2DDE"/>
    <w:rsid w:val="000A3095"/>
    <w:rsid w:val="000A3777"/>
    <w:rsid w:val="000A4160"/>
    <w:rsid w:val="000A537E"/>
    <w:rsid w:val="000A575D"/>
    <w:rsid w:val="000A5B16"/>
    <w:rsid w:val="000B07F6"/>
    <w:rsid w:val="000B08F4"/>
    <w:rsid w:val="000B09FF"/>
    <w:rsid w:val="000B165E"/>
    <w:rsid w:val="000B179F"/>
    <w:rsid w:val="000B18A0"/>
    <w:rsid w:val="000B1B37"/>
    <w:rsid w:val="000B2E98"/>
    <w:rsid w:val="000B34C8"/>
    <w:rsid w:val="000B4291"/>
    <w:rsid w:val="000B449A"/>
    <w:rsid w:val="000B4F59"/>
    <w:rsid w:val="000B5CFC"/>
    <w:rsid w:val="000B6992"/>
    <w:rsid w:val="000B6A6F"/>
    <w:rsid w:val="000B7027"/>
    <w:rsid w:val="000B7AD5"/>
    <w:rsid w:val="000C0054"/>
    <w:rsid w:val="000C0419"/>
    <w:rsid w:val="000C0904"/>
    <w:rsid w:val="000C1220"/>
    <w:rsid w:val="000C1525"/>
    <w:rsid w:val="000C16C1"/>
    <w:rsid w:val="000C1B98"/>
    <w:rsid w:val="000C1C2D"/>
    <w:rsid w:val="000C322C"/>
    <w:rsid w:val="000C3762"/>
    <w:rsid w:val="000C3795"/>
    <w:rsid w:val="000C420F"/>
    <w:rsid w:val="000C4649"/>
    <w:rsid w:val="000C576F"/>
    <w:rsid w:val="000C59FA"/>
    <w:rsid w:val="000C5DDB"/>
    <w:rsid w:val="000C5E96"/>
    <w:rsid w:val="000C6C19"/>
    <w:rsid w:val="000C787D"/>
    <w:rsid w:val="000C7B04"/>
    <w:rsid w:val="000C7DCC"/>
    <w:rsid w:val="000D2341"/>
    <w:rsid w:val="000D2EA5"/>
    <w:rsid w:val="000D31EB"/>
    <w:rsid w:val="000D46F7"/>
    <w:rsid w:val="000D5E1C"/>
    <w:rsid w:val="000D7843"/>
    <w:rsid w:val="000D7BA0"/>
    <w:rsid w:val="000D7BF7"/>
    <w:rsid w:val="000E0273"/>
    <w:rsid w:val="000E0EAB"/>
    <w:rsid w:val="000E1577"/>
    <w:rsid w:val="000E1DCF"/>
    <w:rsid w:val="000E222A"/>
    <w:rsid w:val="000E2D5C"/>
    <w:rsid w:val="000E3878"/>
    <w:rsid w:val="000E43E8"/>
    <w:rsid w:val="000E4466"/>
    <w:rsid w:val="000E4849"/>
    <w:rsid w:val="000E4F1F"/>
    <w:rsid w:val="000E5B33"/>
    <w:rsid w:val="000E601F"/>
    <w:rsid w:val="000E61FF"/>
    <w:rsid w:val="000E6609"/>
    <w:rsid w:val="000E71F5"/>
    <w:rsid w:val="000F095F"/>
    <w:rsid w:val="000F10CC"/>
    <w:rsid w:val="000F2F6C"/>
    <w:rsid w:val="000F4511"/>
    <w:rsid w:val="000F4A6C"/>
    <w:rsid w:val="000F4D80"/>
    <w:rsid w:val="000F6148"/>
    <w:rsid w:val="000F7039"/>
    <w:rsid w:val="000F7B38"/>
    <w:rsid w:val="001006B8"/>
    <w:rsid w:val="001018B5"/>
    <w:rsid w:val="001021D0"/>
    <w:rsid w:val="00102A4C"/>
    <w:rsid w:val="00102C1A"/>
    <w:rsid w:val="00103342"/>
    <w:rsid w:val="00103370"/>
    <w:rsid w:val="00103793"/>
    <w:rsid w:val="001047BD"/>
    <w:rsid w:val="00104EF7"/>
    <w:rsid w:val="00105759"/>
    <w:rsid w:val="001064FF"/>
    <w:rsid w:val="00106ACB"/>
    <w:rsid w:val="001076E5"/>
    <w:rsid w:val="00107AF1"/>
    <w:rsid w:val="00107F14"/>
    <w:rsid w:val="001114BE"/>
    <w:rsid w:val="00113C13"/>
    <w:rsid w:val="00113CCB"/>
    <w:rsid w:val="00113E90"/>
    <w:rsid w:val="00114F32"/>
    <w:rsid w:val="001152B6"/>
    <w:rsid w:val="00115FF4"/>
    <w:rsid w:val="001161E0"/>
    <w:rsid w:val="001166DA"/>
    <w:rsid w:val="00116C6E"/>
    <w:rsid w:val="00117F17"/>
    <w:rsid w:val="00120065"/>
    <w:rsid w:val="00120188"/>
    <w:rsid w:val="0012102D"/>
    <w:rsid w:val="001216BD"/>
    <w:rsid w:val="00121D0F"/>
    <w:rsid w:val="00121EA5"/>
    <w:rsid w:val="00122611"/>
    <w:rsid w:val="00122819"/>
    <w:rsid w:val="00124376"/>
    <w:rsid w:val="00124699"/>
    <w:rsid w:val="001261CF"/>
    <w:rsid w:val="0012623B"/>
    <w:rsid w:val="00126883"/>
    <w:rsid w:val="00126B8D"/>
    <w:rsid w:val="00127434"/>
    <w:rsid w:val="00132A03"/>
    <w:rsid w:val="00132AE7"/>
    <w:rsid w:val="00132D2B"/>
    <w:rsid w:val="001332D2"/>
    <w:rsid w:val="00135111"/>
    <w:rsid w:val="001354F0"/>
    <w:rsid w:val="00135F04"/>
    <w:rsid w:val="00136C6E"/>
    <w:rsid w:val="00140517"/>
    <w:rsid w:val="00140FB9"/>
    <w:rsid w:val="00141928"/>
    <w:rsid w:val="0014297D"/>
    <w:rsid w:val="001435F7"/>
    <w:rsid w:val="00143916"/>
    <w:rsid w:val="00147F5D"/>
    <w:rsid w:val="00151555"/>
    <w:rsid w:val="00151F50"/>
    <w:rsid w:val="001523F7"/>
    <w:rsid w:val="0015351D"/>
    <w:rsid w:val="0015359E"/>
    <w:rsid w:val="001539BC"/>
    <w:rsid w:val="00155B3A"/>
    <w:rsid w:val="00155E04"/>
    <w:rsid w:val="00156307"/>
    <w:rsid w:val="00156708"/>
    <w:rsid w:val="001600AC"/>
    <w:rsid w:val="0016066E"/>
    <w:rsid w:val="00160DD5"/>
    <w:rsid w:val="001613EF"/>
    <w:rsid w:val="00161852"/>
    <w:rsid w:val="00161E19"/>
    <w:rsid w:val="00162BE7"/>
    <w:rsid w:val="001640AC"/>
    <w:rsid w:val="00164AE2"/>
    <w:rsid w:val="00165EC0"/>
    <w:rsid w:val="0016605A"/>
    <w:rsid w:val="00166321"/>
    <w:rsid w:val="001668FB"/>
    <w:rsid w:val="00166B68"/>
    <w:rsid w:val="00167AEB"/>
    <w:rsid w:val="001700B2"/>
    <w:rsid w:val="0017067D"/>
    <w:rsid w:val="00170BE0"/>
    <w:rsid w:val="00171165"/>
    <w:rsid w:val="001755EA"/>
    <w:rsid w:val="00175974"/>
    <w:rsid w:val="00175F9E"/>
    <w:rsid w:val="001772F6"/>
    <w:rsid w:val="001778D5"/>
    <w:rsid w:val="001811BC"/>
    <w:rsid w:val="00181419"/>
    <w:rsid w:val="00182A08"/>
    <w:rsid w:val="001836F1"/>
    <w:rsid w:val="00183789"/>
    <w:rsid w:val="001837B0"/>
    <w:rsid w:val="00183A34"/>
    <w:rsid w:val="00184D95"/>
    <w:rsid w:val="00187605"/>
    <w:rsid w:val="00187794"/>
    <w:rsid w:val="00190071"/>
    <w:rsid w:val="00190A8B"/>
    <w:rsid w:val="00190C57"/>
    <w:rsid w:val="0019139A"/>
    <w:rsid w:val="00192029"/>
    <w:rsid w:val="00192E0B"/>
    <w:rsid w:val="001939E5"/>
    <w:rsid w:val="00193E61"/>
    <w:rsid w:val="001948F9"/>
    <w:rsid w:val="0019498E"/>
    <w:rsid w:val="001957A1"/>
    <w:rsid w:val="00196906"/>
    <w:rsid w:val="00197257"/>
    <w:rsid w:val="00197D74"/>
    <w:rsid w:val="00197E57"/>
    <w:rsid w:val="001A1B2C"/>
    <w:rsid w:val="001A3277"/>
    <w:rsid w:val="001A3309"/>
    <w:rsid w:val="001A3602"/>
    <w:rsid w:val="001A42A8"/>
    <w:rsid w:val="001A55DB"/>
    <w:rsid w:val="001B21ED"/>
    <w:rsid w:val="001B2B2A"/>
    <w:rsid w:val="001B30FB"/>
    <w:rsid w:val="001B3178"/>
    <w:rsid w:val="001B3AA4"/>
    <w:rsid w:val="001B3D14"/>
    <w:rsid w:val="001B44AA"/>
    <w:rsid w:val="001B481C"/>
    <w:rsid w:val="001B4D2F"/>
    <w:rsid w:val="001B4EF5"/>
    <w:rsid w:val="001B5A17"/>
    <w:rsid w:val="001B5C43"/>
    <w:rsid w:val="001B6130"/>
    <w:rsid w:val="001B6641"/>
    <w:rsid w:val="001B719C"/>
    <w:rsid w:val="001B7955"/>
    <w:rsid w:val="001B7E70"/>
    <w:rsid w:val="001C08C5"/>
    <w:rsid w:val="001C28CC"/>
    <w:rsid w:val="001C29EE"/>
    <w:rsid w:val="001C3DCA"/>
    <w:rsid w:val="001C484E"/>
    <w:rsid w:val="001C5608"/>
    <w:rsid w:val="001C5E39"/>
    <w:rsid w:val="001C6440"/>
    <w:rsid w:val="001C650E"/>
    <w:rsid w:val="001C72A4"/>
    <w:rsid w:val="001C7351"/>
    <w:rsid w:val="001D0026"/>
    <w:rsid w:val="001D0498"/>
    <w:rsid w:val="001D0B71"/>
    <w:rsid w:val="001D13DE"/>
    <w:rsid w:val="001D1743"/>
    <w:rsid w:val="001D1B4A"/>
    <w:rsid w:val="001D3AE7"/>
    <w:rsid w:val="001D3EE3"/>
    <w:rsid w:val="001D417D"/>
    <w:rsid w:val="001D4D22"/>
    <w:rsid w:val="001D5110"/>
    <w:rsid w:val="001D516A"/>
    <w:rsid w:val="001D56AA"/>
    <w:rsid w:val="001D56EE"/>
    <w:rsid w:val="001D6464"/>
    <w:rsid w:val="001D6C01"/>
    <w:rsid w:val="001D78B8"/>
    <w:rsid w:val="001D79E9"/>
    <w:rsid w:val="001E050A"/>
    <w:rsid w:val="001E067C"/>
    <w:rsid w:val="001E220C"/>
    <w:rsid w:val="001E3781"/>
    <w:rsid w:val="001E3CEC"/>
    <w:rsid w:val="001E3F75"/>
    <w:rsid w:val="001E50D2"/>
    <w:rsid w:val="001E7011"/>
    <w:rsid w:val="001E7D0D"/>
    <w:rsid w:val="001F024C"/>
    <w:rsid w:val="001F06B3"/>
    <w:rsid w:val="001F29F5"/>
    <w:rsid w:val="001F2C6C"/>
    <w:rsid w:val="001F33D4"/>
    <w:rsid w:val="001F38F2"/>
    <w:rsid w:val="001F42C0"/>
    <w:rsid w:val="001F59CA"/>
    <w:rsid w:val="001F6212"/>
    <w:rsid w:val="001F7F14"/>
    <w:rsid w:val="001F7F53"/>
    <w:rsid w:val="002011FD"/>
    <w:rsid w:val="002023E8"/>
    <w:rsid w:val="002025A8"/>
    <w:rsid w:val="002026D8"/>
    <w:rsid w:val="00202827"/>
    <w:rsid w:val="002034DF"/>
    <w:rsid w:val="002035D8"/>
    <w:rsid w:val="00204573"/>
    <w:rsid w:val="002050CB"/>
    <w:rsid w:val="00205490"/>
    <w:rsid w:val="00206BD4"/>
    <w:rsid w:val="0021071A"/>
    <w:rsid w:val="002111C5"/>
    <w:rsid w:val="0021186A"/>
    <w:rsid w:val="00212AA1"/>
    <w:rsid w:val="0021447B"/>
    <w:rsid w:val="0021527B"/>
    <w:rsid w:val="002152AD"/>
    <w:rsid w:val="00215E88"/>
    <w:rsid w:val="00216466"/>
    <w:rsid w:val="00216E15"/>
    <w:rsid w:val="00217EAF"/>
    <w:rsid w:val="002200F9"/>
    <w:rsid w:val="00220ACC"/>
    <w:rsid w:val="00220E74"/>
    <w:rsid w:val="002211EB"/>
    <w:rsid w:val="00221A93"/>
    <w:rsid w:val="00222D67"/>
    <w:rsid w:val="00224970"/>
    <w:rsid w:val="00224C34"/>
    <w:rsid w:val="0022523D"/>
    <w:rsid w:val="0022527A"/>
    <w:rsid w:val="00225526"/>
    <w:rsid w:val="00225D67"/>
    <w:rsid w:val="00226079"/>
    <w:rsid w:val="00226405"/>
    <w:rsid w:val="00226CD3"/>
    <w:rsid w:val="00230256"/>
    <w:rsid w:val="002307C7"/>
    <w:rsid w:val="00232F5A"/>
    <w:rsid w:val="00232FF8"/>
    <w:rsid w:val="002343EB"/>
    <w:rsid w:val="0023495C"/>
    <w:rsid w:val="00235677"/>
    <w:rsid w:val="00235A3E"/>
    <w:rsid w:val="00236A57"/>
    <w:rsid w:val="002374C0"/>
    <w:rsid w:val="00240167"/>
    <w:rsid w:val="002407A2"/>
    <w:rsid w:val="00240E38"/>
    <w:rsid w:val="00240E78"/>
    <w:rsid w:val="00240EAF"/>
    <w:rsid w:val="00241864"/>
    <w:rsid w:val="002418FB"/>
    <w:rsid w:val="00241CF5"/>
    <w:rsid w:val="00242174"/>
    <w:rsid w:val="00242777"/>
    <w:rsid w:val="002428FF"/>
    <w:rsid w:val="00242A9B"/>
    <w:rsid w:val="00243139"/>
    <w:rsid w:val="00243255"/>
    <w:rsid w:val="00244902"/>
    <w:rsid w:val="00244DDB"/>
    <w:rsid w:val="00244F1B"/>
    <w:rsid w:val="0024525B"/>
    <w:rsid w:val="00245B2F"/>
    <w:rsid w:val="00245C5A"/>
    <w:rsid w:val="00246025"/>
    <w:rsid w:val="0024629B"/>
    <w:rsid w:val="0024732E"/>
    <w:rsid w:val="002478E9"/>
    <w:rsid w:val="0025048D"/>
    <w:rsid w:val="002508FA"/>
    <w:rsid w:val="002512A2"/>
    <w:rsid w:val="002517B9"/>
    <w:rsid w:val="002522E9"/>
    <w:rsid w:val="002544DD"/>
    <w:rsid w:val="00254D2C"/>
    <w:rsid w:val="0025538B"/>
    <w:rsid w:val="00255F9B"/>
    <w:rsid w:val="00256684"/>
    <w:rsid w:val="00256D3F"/>
    <w:rsid w:val="00257588"/>
    <w:rsid w:val="00257904"/>
    <w:rsid w:val="00257A98"/>
    <w:rsid w:val="00257EC7"/>
    <w:rsid w:val="0026019B"/>
    <w:rsid w:val="0026061A"/>
    <w:rsid w:val="00261C19"/>
    <w:rsid w:val="00262BBF"/>
    <w:rsid w:val="00264962"/>
    <w:rsid w:val="00265A65"/>
    <w:rsid w:val="00266755"/>
    <w:rsid w:val="00270D7E"/>
    <w:rsid w:val="00270E2D"/>
    <w:rsid w:val="00271188"/>
    <w:rsid w:val="00271A21"/>
    <w:rsid w:val="0027281E"/>
    <w:rsid w:val="00273124"/>
    <w:rsid w:val="00273BE6"/>
    <w:rsid w:val="0027488F"/>
    <w:rsid w:val="00274A7B"/>
    <w:rsid w:val="00274C38"/>
    <w:rsid w:val="00274FB9"/>
    <w:rsid w:val="0027517D"/>
    <w:rsid w:val="002753AA"/>
    <w:rsid w:val="002760FD"/>
    <w:rsid w:val="00276D8E"/>
    <w:rsid w:val="00280318"/>
    <w:rsid w:val="00282DC4"/>
    <w:rsid w:val="00283561"/>
    <w:rsid w:val="00283855"/>
    <w:rsid w:val="00283D28"/>
    <w:rsid w:val="00284013"/>
    <w:rsid w:val="0028414C"/>
    <w:rsid w:val="0028476C"/>
    <w:rsid w:val="00284B1A"/>
    <w:rsid w:val="00284B9A"/>
    <w:rsid w:val="00285683"/>
    <w:rsid w:val="00285B5D"/>
    <w:rsid w:val="00286704"/>
    <w:rsid w:val="002867B8"/>
    <w:rsid w:val="00286B48"/>
    <w:rsid w:val="0028792F"/>
    <w:rsid w:val="00287D30"/>
    <w:rsid w:val="002909A4"/>
    <w:rsid w:val="00291699"/>
    <w:rsid w:val="002917A3"/>
    <w:rsid w:val="00291F05"/>
    <w:rsid w:val="0029283C"/>
    <w:rsid w:val="002928B7"/>
    <w:rsid w:val="00292BDA"/>
    <w:rsid w:val="002930B8"/>
    <w:rsid w:val="0029318C"/>
    <w:rsid w:val="002934DE"/>
    <w:rsid w:val="00293907"/>
    <w:rsid w:val="00295DF5"/>
    <w:rsid w:val="00296D0A"/>
    <w:rsid w:val="00296DEC"/>
    <w:rsid w:val="0029741C"/>
    <w:rsid w:val="00297627"/>
    <w:rsid w:val="00297823"/>
    <w:rsid w:val="002A07F9"/>
    <w:rsid w:val="002A0A2A"/>
    <w:rsid w:val="002A1445"/>
    <w:rsid w:val="002A2486"/>
    <w:rsid w:val="002A2D39"/>
    <w:rsid w:val="002A39E8"/>
    <w:rsid w:val="002A4FA5"/>
    <w:rsid w:val="002A519E"/>
    <w:rsid w:val="002A5721"/>
    <w:rsid w:val="002A5C38"/>
    <w:rsid w:val="002A6835"/>
    <w:rsid w:val="002A6F3E"/>
    <w:rsid w:val="002A73B1"/>
    <w:rsid w:val="002B00C5"/>
    <w:rsid w:val="002B01F8"/>
    <w:rsid w:val="002B1404"/>
    <w:rsid w:val="002B3F41"/>
    <w:rsid w:val="002B59EE"/>
    <w:rsid w:val="002B6306"/>
    <w:rsid w:val="002B69F1"/>
    <w:rsid w:val="002B6AC0"/>
    <w:rsid w:val="002B6B5C"/>
    <w:rsid w:val="002B72A7"/>
    <w:rsid w:val="002B746C"/>
    <w:rsid w:val="002B7E4F"/>
    <w:rsid w:val="002C0A75"/>
    <w:rsid w:val="002C0F0E"/>
    <w:rsid w:val="002C10A7"/>
    <w:rsid w:val="002C10F5"/>
    <w:rsid w:val="002C1B5C"/>
    <w:rsid w:val="002C24F8"/>
    <w:rsid w:val="002C2543"/>
    <w:rsid w:val="002C291F"/>
    <w:rsid w:val="002C3011"/>
    <w:rsid w:val="002C43D4"/>
    <w:rsid w:val="002C5D65"/>
    <w:rsid w:val="002D0163"/>
    <w:rsid w:val="002D0C68"/>
    <w:rsid w:val="002D2C47"/>
    <w:rsid w:val="002D48C7"/>
    <w:rsid w:val="002D5245"/>
    <w:rsid w:val="002D543D"/>
    <w:rsid w:val="002D5D08"/>
    <w:rsid w:val="002D6279"/>
    <w:rsid w:val="002D645C"/>
    <w:rsid w:val="002D64BD"/>
    <w:rsid w:val="002D7181"/>
    <w:rsid w:val="002D73FF"/>
    <w:rsid w:val="002E29FD"/>
    <w:rsid w:val="002E3C55"/>
    <w:rsid w:val="002E41EE"/>
    <w:rsid w:val="002E4871"/>
    <w:rsid w:val="002E48FE"/>
    <w:rsid w:val="002E5B0C"/>
    <w:rsid w:val="002E5B65"/>
    <w:rsid w:val="002F0928"/>
    <w:rsid w:val="002F1573"/>
    <w:rsid w:val="002F17DE"/>
    <w:rsid w:val="002F1AE1"/>
    <w:rsid w:val="002F2289"/>
    <w:rsid w:val="002F2866"/>
    <w:rsid w:val="002F2F6A"/>
    <w:rsid w:val="002F32D2"/>
    <w:rsid w:val="002F6395"/>
    <w:rsid w:val="002F7496"/>
    <w:rsid w:val="002F7848"/>
    <w:rsid w:val="003003FD"/>
    <w:rsid w:val="00300B52"/>
    <w:rsid w:val="0030158F"/>
    <w:rsid w:val="003025EE"/>
    <w:rsid w:val="00303339"/>
    <w:rsid w:val="003036E5"/>
    <w:rsid w:val="003042E6"/>
    <w:rsid w:val="00304561"/>
    <w:rsid w:val="00304881"/>
    <w:rsid w:val="00305B72"/>
    <w:rsid w:val="00305D5E"/>
    <w:rsid w:val="00306438"/>
    <w:rsid w:val="003067FF"/>
    <w:rsid w:val="00310A83"/>
    <w:rsid w:val="00311E6C"/>
    <w:rsid w:val="003123B7"/>
    <w:rsid w:val="003123CB"/>
    <w:rsid w:val="00312888"/>
    <w:rsid w:val="003128AB"/>
    <w:rsid w:val="003135F6"/>
    <w:rsid w:val="00313BF8"/>
    <w:rsid w:val="00313DF4"/>
    <w:rsid w:val="00313EC0"/>
    <w:rsid w:val="00314805"/>
    <w:rsid w:val="00315366"/>
    <w:rsid w:val="00315C97"/>
    <w:rsid w:val="00316031"/>
    <w:rsid w:val="003161FE"/>
    <w:rsid w:val="0031657A"/>
    <w:rsid w:val="003176E3"/>
    <w:rsid w:val="0031787A"/>
    <w:rsid w:val="00320135"/>
    <w:rsid w:val="0032016A"/>
    <w:rsid w:val="00320B1E"/>
    <w:rsid w:val="00320BDF"/>
    <w:rsid w:val="00321380"/>
    <w:rsid w:val="00321AC3"/>
    <w:rsid w:val="00321BB9"/>
    <w:rsid w:val="00321D4A"/>
    <w:rsid w:val="00322A17"/>
    <w:rsid w:val="0032307F"/>
    <w:rsid w:val="00323288"/>
    <w:rsid w:val="00323593"/>
    <w:rsid w:val="003242F7"/>
    <w:rsid w:val="00324977"/>
    <w:rsid w:val="003262EC"/>
    <w:rsid w:val="00326378"/>
    <w:rsid w:val="0032663B"/>
    <w:rsid w:val="00327A44"/>
    <w:rsid w:val="00333782"/>
    <w:rsid w:val="00334773"/>
    <w:rsid w:val="00336472"/>
    <w:rsid w:val="00337090"/>
    <w:rsid w:val="00337411"/>
    <w:rsid w:val="00342312"/>
    <w:rsid w:val="00342D17"/>
    <w:rsid w:val="00342F82"/>
    <w:rsid w:val="00346F0A"/>
    <w:rsid w:val="003472DA"/>
    <w:rsid w:val="00347335"/>
    <w:rsid w:val="0035035B"/>
    <w:rsid w:val="003511F9"/>
    <w:rsid w:val="00351E4F"/>
    <w:rsid w:val="00352595"/>
    <w:rsid w:val="0035260D"/>
    <w:rsid w:val="00352C58"/>
    <w:rsid w:val="00353918"/>
    <w:rsid w:val="00353DAD"/>
    <w:rsid w:val="0035697B"/>
    <w:rsid w:val="00356ABB"/>
    <w:rsid w:val="00356C76"/>
    <w:rsid w:val="00356D15"/>
    <w:rsid w:val="003608B5"/>
    <w:rsid w:val="0036112A"/>
    <w:rsid w:val="003613BA"/>
    <w:rsid w:val="00361D3B"/>
    <w:rsid w:val="00362345"/>
    <w:rsid w:val="00362E11"/>
    <w:rsid w:val="003642E2"/>
    <w:rsid w:val="00364302"/>
    <w:rsid w:val="00364540"/>
    <w:rsid w:val="003647F4"/>
    <w:rsid w:val="00364D78"/>
    <w:rsid w:val="003667A5"/>
    <w:rsid w:val="00367225"/>
    <w:rsid w:val="00367423"/>
    <w:rsid w:val="003677B0"/>
    <w:rsid w:val="00367DED"/>
    <w:rsid w:val="00367FA8"/>
    <w:rsid w:val="00370138"/>
    <w:rsid w:val="00370A66"/>
    <w:rsid w:val="00371A80"/>
    <w:rsid w:val="00372A63"/>
    <w:rsid w:val="00372A7A"/>
    <w:rsid w:val="00372CAA"/>
    <w:rsid w:val="00372EBC"/>
    <w:rsid w:val="003731A0"/>
    <w:rsid w:val="00373546"/>
    <w:rsid w:val="00374032"/>
    <w:rsid w:val="003740D7"/>
    <w:rsid w:val="003742B5"/>
    <w:rsid w:val="003742FF"/>
    <w:rsid w:val="00376B51"/>
    <w:rsid w:val="00376D7E"/>
    <w:rsid w:val="00377EBF"/>
    <w:rsid w:val="00382C6B"/>
    <w:rsid w:val="00383100"/>
    <w:rsid w:val="00383186"/>
    <w:rsid w:val="003852E4"/>
    <w:rsid w:val="00385D15"/>
    <w:rsid w:val="003862D1"/>
    <w:rsid w:val="00386317"/>
    <w:rsid w:val="00386826"/>
    <w:rsid w:val="00387502"/>
    <w:rsid w:val="003878FC"/>
    <w:rsid w:val="003904D0"/>
    <w:rsid w:val="003913C4"/>
    <w:rsid w:val="00391446"/>
    <w:rsid w:val="00391925"/>
    <w:rsid w:val="00393B0F"/>
    <w:rsid w:val="00394075"/>
    <w:rsid w:val="00394203"/>
    <w:rsid w:val="00395190"/>
    <w:rsid w:val="0039563E"/>
    <w:rsid w:val="00395DF6"/>
    <w:rsid w:val="00396607"/>
    <w:rsid w:val="003967F5"/>
    <w:rsid w:val="00397250"/>
    <w:rsid w:val="0039786D"/>
    <w:rsid w:val="00397F68"/>
    <w:rsid w:val="003A0D96"/>
    <w:rsid w:val="003A2849"/>
    <w:rsid w:val="003A2B07"/>
    <w:rsid w:val="003A3266"/>
    <w:rsid w:val="003A3677"/>
    <w:rsid w:val="003A49B6"/>
    <w:rsid w:val="003A4CC3"/>
    <w:rsid w:val="003A510E"/>
    <w:rsid w:val="003A623E"/>
    <w:rsid w:val="003A7731"/>
    <w:rsid w:val="003B0DA2"/>
    <w:rsid w:val="003B189A"/>
    <w:rsid w:val="003B20DE"/>
    <w:rsid w:val="003B22CD"/>
    <w:rsid w:val="003B29A5"/>
    <w:rsid w:val="003B2A9D"/>
    <w:rsid w:val="003B2FE4"/>
    <w:rsid w:val="003B3BF2"/>
    <w:rsid w:val="003B4052"/>
    <w:rsid w:val="003B44F0"/>
    <w:rsid w:val="003B5138"/>
    <w:rsid w:val="003B55A7"/>
    <w:rsid w:val="003B5911"/>
    <w:rsid w:val="003B5ACA"/>
    <w:rsid w:val="003B61D5"/>
    <w:rsid w:val="003B638D"/>
    <w:rsid w:val="003B6677"/>
    <w:rsid w:val="003B6934"/>
    <w:rsid w:val="003B6BE8"/>
    <w:rsid w:val="003B6FCF"/>
    <w:rsid w:val="003B7585"/>
    <w:rsid w:val="003B781C"/>
    <w:rsid w:val="003C07C3"/>
    <w:rsid w:val="003C085C"/>
    <w:rsid w:val="003C1A4A"/>
    <w:rsid w:val="003C20D1"/>
    <w:rsid w:val="003C294E"/>
    <w:rsid w:val="003C2A46"/>
    <w:rsid w:val="003C2C44"/>
    <w:rsid w:val="003C3ACB"/>
    <w:rsid w:val="003C4DFA"/>
    <w:rsid w:val="003C4F94"/>
    <w:rsid w:val="003C6FBD"/>
    <w:rsid w:val="003D00E4"/>
    <w:rsid w:val="003D0908"/>
    <w:rsid w:val="003D0DBA"/>
    <w:rsid w:val="003D103D"/>
    <w:rsid w:val="003D114B"/>
    <w:rsid w:val="003D1C18"/>
    <w:rsid w:val="003D2061"/>
    <w:rsid w:val="003D26CB"/>
    <w:rsid w:val="003D2E46"/>
    <w:rsid w:val="003D3CBD"/>
    <w:rsid w:val="003D4472"/>
    <w:rsid w:val="003D5AFB"/>
    <w:rsid w:val="003D63AE"/>
    <w:rsid w:val="003D63C9"/>
    <w:rsid w:val="003D79B4"/>
    <w:rsid w:val="003D7A19"/>
    <w:rsid w:val="003D7F20"/>
    <w:rsid w:val="003E000B"/>
    <w:rsid w:val="003E011A"/>
    <w:rsid w:val="003E0188"/>
    <w:rsid w:val="003E0CFF"/>
    <w:rsid w:val="003E1BA4"/>
    <w:rsid w:val="003E1D3D"/>
    <w:rsid w:val="003E2836"/>
    <w:rsid w:val="003E2D54"/>
    <w:rsid w:val="003E30F2"/>
    <w:rsid w:val="003E3ABA"/>
    <w:rsid w:val="003E4EC7"/>
    <w:rsid w:val="003E5361"/>
    <w:rsid w:val="003E6782"/>
    <w:rsid w:val="003E6D18"/>
    <w:rsid w:val="003E7C42"/>
    <w:rsid w:val="003E7D35"/>
    <w:rsid w:val="003F0296"/>
    <w:rsid w:val="003F0969"/>
    <w:rsid w:val="003F1FB0"/>
    <w:rsid w:val="003F23C0"/>
    <w:rsid w:val="003F2E8E"/>
    <w:rsid w:val="003F3902"/>
    <w:rsid w:val="003F3AB9"/>
    <w:rsid w:val="003F5E62"/>
    <w:rsid w:val="003F6CDE"/>
    <w:rsid w:val="003F6D48"/>
    <w:rsid w:val="003F75E8"/>
    <w:rsid w:val="0040010D"/>
    <w:rsid w:val="004002DD"/>
    <w:rsid w:val="004006ED"/>
    <w:rsid w:val="004011AD"/>
    <w:rsid w:val="00401E44"/>
    <w:rsid w:val="00401ECB"/>
    <w:rsid w:val="00401EF1"/>
    <w:rsid w:val="00402089"/>
    <w:rsid w:val="0040233A"/>
    <w:rsid w:val="0040281A"/>
    <w:rsid w:val="004028EC"/>
    <w:rsid w:val="00402FCA"/>
    <w:rsid w:val="00403A10"/>
    <w:rsid w:val="00404094"/>
    <w:rsid w:val="004044C3"/>
    <w:rsid w:val="004055FA"/>
    <w:rsid w:val="0040626A"/>
    <w:rsid w:val="00407217"/>
    <w:rsid w:val="0040744D"/>
    <w:rsid w:val="004106E7"/>
    <w:rsid w:val="00410DEC"/>
    <w:rsid w:val="00410ED1"/>
    <w:rsid w:val="004119A3"/>
    <w:rsid w:val="00413096"/>
    <w:rsid w:val="0041324D"/>
    <w:rsid w:val="004135CB"/>
    <w:rsid w:val="00414104"/>
    <w:rsid w:val="004149DA"/>
    <w:rsid w:val="00416D84"/>
    <w:rsid w:val="004176A0"/>
    <w:rsid w:val="00417E80"/>
    <w:rsid w:val="00421DB6"/>
    <w:rsid w:val="004226E2"/>
    <w:rsid w:val="00423B87"/>
    <w:rsid w:val="004242D6"/>
    <w:rsid w:val="00424DF9"/>
    <w:rsid w:val="00425199"/>
    <w:rsid w:val="00425CAC"/>
    <w:rsid w:val="00426A3F"/>
    <w:rsid w:val="00426FC5"/>
    <w:rsid w:val="00430DE6"/>
    <w:rsid w:val="00430E98"/>
    <w:rsid w:val="0043187D"/>
    <w:rsid w:val="00431D93"/>
    <w:rsid w:val="004325A9"/>
    <w:rsid w:val="004340D5"/>
    <w:rsid w:val="004341C4"/>
    <w:rsid w:val="00434444"/>
    <w:rsid w:val="0043492B"/>
    <w:rsid w:val="004352C9"/>
    <w:rsid w:val="00436037"/>
    <w:rsid w:val="0044005E"/>
    <w:rsid w:val="004412D4"/>
    <w:rsid w:val="004413A7"/>
    <w:rsid w:val="00441A2E"/>
    <w:rsid w:val="00441A37"/>
    <w:rsid w:val="00441BCF"/>
    <w:rsid w:val="00441C25"/>
    <w:rsid w:val="00443316"/>
    <w:rsid w:val="00445351"/>
    <w:rsid w:val="00445507"/>
    <w:rsid w:val="00446976"/>
    <w:rsid w:val="00447663"/>
    <w:rsid w:val="00450017"/>
    <w:rsid w:val="004510C2"/>
    <w:rsid w:val="0045111C"/>
    <w:rsid w:val="00451A69"/>
    <w:rsid w:val="00451F2A"/>
    <w:rsid w:val="00451FBA"/>
    <w:rsid w:val="00452BD5"/>
    <w:rsid w:val="00452EA3"/>
    <w:rsid w:val="0045376D"/>
    <w:rsid w:val="00453D76"/>
    <w:rsid w:val="0045480E"/>
    <w:rsid w:val="004548CC"/>
    <w:rsid w:val="00454C9E"/>
    <w:rsid w:val="00455041"/>
    <w:rsid w:val="004552FA"/>
    <w:rsid w:val="00456F00"/>
    <w:rsid w:val="004571AD"/>
    <w:rsid w:val="00457EEA"/>
    <w:rsid w:val="00457FE7"/>
    <w:rsid w:val="004614A8"/>
    <w:rsid w:val="00461B37"/>
    <w:rsid w:val="00462651"/>
    <w:rsid w:val="00462A0F"/>
    <w:rsid w:val="00462FCD"/>
    <w:rsid w:val="0046339E"/>
    <w:rsid w:val="0046417B"/>
    <w:rsid w:val="00465D03"/>
    <w:rsid w:val="0046718B"/>
    <w:rsid w:val="00467AAA"/>
    <w:rsid w:val="00467C10"/>
    <w:rsid w:val="00470EDD"/>
    <w:rsid w:val="0047113F"/>
    <w:rsid w:val="00474511"/>
    <w:rsid w:val="00475BCA"/>
    <w:rsid w:val="004761CB"/>
    <w:rsid w:val="00476270"/>
    <w:rsid w:val="004771A7"/>
    <w:rsid w:val="0047773F"/>
    <w:rsid w:val="00481169"/>
    <w:rsid w:val="0048137E"/>
    <w:rsid w:val="0048202E"/>
    <w:rsid w:val="0048311D"/>
    <w:rsid w:val="004844AA"/>
    <w:rsid w:val="004850E9"/>
    <w:rsid w:val="0048728A"/>
    <w:rsid w:val="00487595"/>
    <w:rsid w:val="00487A31"/>
    <w:rsid w:val="00490224"/>
    <w:rsid w:val="00490CE2"/>
    <w:rsid w:val="00490F8F"/>
    <w:rsid w:val="00491951"/>
    <w:rsid w:val="00491D35"/>
    <w:rsid w:val="00492730"/>
    <w:rsid w:val="0049446E"/>
    <w:rsid w:val="004960D4"/>
    <w:rsid w:val="004960D6"/>
    <w:rsid w:val="00496405"/>
    <w:rsid w:val="00496C35"/>
    <w:rsid w:val="00496CAF"/>
    <w:rsid w:val="004970F0"/>
    <w:rsid w:val="004976CA"/>
    <w:rsid w:val="00497D23"/>
    <w:rsid w:val="00497D3C"/>
    <w:rsid w:val="004A034C"/>
    <w:rsid w:val="004A0C2D"/>
    <w:rsid w:val="004A1282"/>
    <w:rsid w:val="004A1675"/>
    <w:rsid w:val="004A2403"/>
    <w:rsid w:val="004A29A0"/>
    <w:rsid w:val="004A2D21"/>
    <w:rsid w:val="004A2F1C"/>
    <w:rsid w:val="004A3130"/>
    <w:rsid w:val="004A336C"/>
    <w:rsid w:val="004A38A4"/>
    <w:rsid w:val="004A3A9E"/>
    <w:rsid w:val="004A5438"/>
    <w:rsid w:val="004A5DE2"/>
    <w:rsid w:val="004A773C"/>
    <w:rsid w:val="004A7C0F"/>
    <w:rsid w:val="004B152B"/>
    <w:rsid w:val="004B1A27"/>
    <w:rsid w:val="004B2B36"/>
    <w:rsid w:val="004B2CF8"/>
    <w:rsid w:val="004B3CDE"/>
    <w:rsid w:val="004B3DB2"/>
    <w:rsid w:val="004B3FF7"/>
    <w:rsid w:val="004B4073"/>
    <w:rsid w:val="004B55D0"/>
    <w:rsid w:val="004B572C"/>
    <w:rsid w:val="004B5730"/>
    <w:rsid w:val="004B5826"/>
    <w:rsid w:val="004B60B1"/>
    <w:rsid w:val="004B64DE"/>
    <w:rsid w:val="004B6A35"/>
    <w:rsid w:val="004B6A58"/>
    <w:rsid w:val="004B6A92"/>
    <w:rsid w:val="004C063D"/>
    <w:rsid w:val="004C1498"/>
    <w:rsid w:val="004C2380"/>
    <w:rsid w:val="004C4113"/>
    <w:rsid w:val="004C5014"/>
    <w:rsid w:val="004C6416"/>
    <w:rsid w:val="004C69CA"/>
    <w:rsid w:val="004C6F3F"/>
    <w:rsid w:val="004D0745"/>
    <w:rsid w:val="004D0F9A"/>
    <w:rsid w:val="004D1589"/>
    <w:rsid w:val="004D1664"/>
    <w:rsid w:val="004D2493"/>
    <w:rsid w:val="004D35A3"/>
    <w:rsid w:val="004D3E5C"/>
    <w:rsid w:val="004D49D4"/>
    <w:rsid w:val="004D4B64"/>
    <w:rsid w:val="004D4C6B"/>
    <w:rsid w:val="004D5182"/>
    <w:rsid w:val="004D5CAD"/>
    <w:rsid w:val="004D6121"/>
    <w:rsid w:val="004D697E"/>
    <w:rsid w:val="004E076E"/>
    <w:rsid w:val="004E0B1E"/>
    <w:rsid w:val="004E10E2"/>
    <w:rsid w:val="004E1459"/>
    <w:rsid w:val="004E1C98"/>
    <w:rsid w:val="004E21A0"/>
    <w:rsid w:val="004E21BE"/>
    <w:rsid w:val="004E2257"/>
    <w:rsid w:val="004E2618"/>
    <w:rsid w:val="004E28AA"/>
    <w:rsid w:val="004E53A7"/>
    <w:rsid w:val="004E60FD"/>
    <w:rsid w:val="004E6D35"/>
    <w:rsid w:val="004F097B"/>
    <w:rsid w:val="004F274F"/>
    <w:rsid w:val="004F27FD"/>
    <w:rsid w:val="004F33C5"/>
    <w:rsid w:val="004F4169"/>
    <w:rsid w:val="004F4AA1"/>
    <w:rsid w:val="004F4ED2"/>
    <w:rsid w:val="004F57E8"/>
    <w:rsid w:val="004F5885"/>
    <w:rsid w:val="004F6143"/>
    <w:rsid w:val="004F6412"/>
    <w:rsid w:val="004F7326"/>
    <w:rsid w:val="004F77DB"/>
    <w:rsid w:val="004F7EF0"/>
    <w:rsid w:val="0050007E"/>
    <w:rsid w:val="00501A33"/>
    <w:rsid w:val="00501AD2"/>
    <w:rsid w:val="00501C07"/>
    <w:rsid w:val="005024AC"/>
    <w:rsid w:val="00502A5A"/>
    <w:rsid w:val="00502C79"/>
    <w:rsid w:val="00502D26"/>
    <w:rsid w:val="005042AC"/>
    <w:rsid w:val="0050430B"/>
    <w:rsid w:val="005053C7"/>
    <w:rsid w:val="00507E43"/>
    <w:rsid w:val="00510467"/>
    <w:rsid w:val="00510C33"/>
    <w:rsid w:val="00510EE5"/>
    <w:rsid w:val="00511254"/>
    <w:rsid w:val="00511B8D"/>
    <w:rsid w:val="00512489"/>
    <w:rsid w:val="00512C95"/>
    <w:rsid w:val="00512CE0"/>
    <w:rsid w:val="005135E7"/>
    <w:rsid w:val="00513ADE"/>
    <w:rsid w:val="00514898"/>
    <w:rsid w:val="00515235"/>
    <w:rsid w:val="00515A11"/>
    <w:rsid w:val="00516738"/>
    <w:rsid w:val="00516FF8"/>
    <w:rsid w:val="00517707"/>
    <w:rsid w:val="00517A9E"/>
    <w:rsid w:val="00520A02"/>
    <w:rsid w:val="00521063"/>
    <w:rsid w:val="005211B2"/>
    <w:rsid w:val="00521E66"/>
    <w:rsid w:val="005225B5"/>
    <w:rsid w:val="005225FC"/>
    <w:rsid w:val="0052279F"/>
    <w:rsid w:val="00522EC5"/>
    <w:rsid w:val="00523DA1"/>
    <w:rsid w:val="00524937"/>
    <w:rsid w:val="005252F5"/>
    <w:rsid w:val="005254B6"/>
    <w:rsid w:val="0052568E"/>
    <w:rsid w:val="00525CDE"/>
    <w:rsid w:val="005267D0"/>
    <w:rsid w:val="00526DD6"/>
    <w:rsid w:val="005317DE"/>
    <w:rsid w:val="00532A5B"/>
    <w:rsid w:val="00533090"/>
    <w:rsid w:val="00534E77"/>
    <w:rsid w:val="005357AC"/>
    <w:rsid w:val="00535932"/>
    <w:rsid w:val="005361FF"/>
    <w:rsid w:val="0053635E"/>
    <w:rsid w:val="00536447"/>
    <w:rsid w:val="00540904"/>
    <w:rsid w:val="0054091E"/>
    <w:rsid w:val="00540AC8"/>
    <w:rsid w:val="00541929"/>
    <w:rsid w:val="00541972"/>
    <w:rsid w:val="00542EA8"/>
    <w:rsid w:val="00543315"/>
    <w:rsid w:val="00544E79"/>
    <w:rsid w:val="00545A48"/>
    <w:rsid w:val="00546B38"/>
    <w:rsid w:val="00547A8F"/>
    <w:rsid w:val="0055081F"/>
    <w:rsid w:val="0055148F"/>
    <w:rsid w:val="00551927"/>
    <w:rsid w:val="00551B0E"/>
    <w:rsid w:val="00551D16"/>
    <w:rsid w:val="00552A71"/>
    <w:rsid w:val="005548CD"/>
    <w:rsid w:val="005552E3"/>
    <w:rsid w:val="00555E30"/>
    <w:rsid w:val="0055610F"/>
    <w:rsid w:val="00557043"/>
    <w:rsid w:val="0055793F"/>
    <w:rsid w:val="00560013"/>
    <w:rsid w:val="005602B5"/>
    <w:rsid w:val="00562318"/>
    <w:rsid w:val="00562A1E"/>
    <w:rsid w:val="00562F85"/>
    <w:rsid w:val="00563157"/>
    <w:rsid w:val="0056395A"/>
    <w:rsid w:val="00563C05"/>
    <w:rsid w:val="00564AF8"/>
    <w:rsid w:val="00564BFF"/>
    <w:rsid w:val="0056516D"/>
    <w:rsid w:val="00565886"/>
    <w:rsid w:val="00565D05"/>
    <w:rsid w:val="00566C5F"/>
    <w:rsid w:val="0057110A"/>
    <w:rsid w:val="00571288"/>
    <w:rsid w:val="005712E9"/>
    <w:rsid w:val="00571A9A"/>
    <w:rsid w:val="00571D6F"/>
    <w:rsid w:val="005726C7"/>
    <w:rsid w:val="00572986"/>
    <w:rsid w:val="00572B10"/>
    <w:rsid w:val="005742A6"/>
    <w:rsid w:val="00574808"/>
    <w:rsid w:val="00574D83"/>
    <w:rsid w:val="00575B90"/>
    <w:rsid w:val="00575D51"/>
    <w:rsid w:val="00576A1F"/>
    <w:rsid w:val="00576AB7"/>
    <w:rsid w:val="00576DC4"/>
    <w:rsid w:val="00577439"/>
    <w:rsid w:val="0058079A"/>
    <w:rsid w:val="00582033"/>
    <w:rsid w:val="00582B0F"/>
    <w:rsid w:val="00582E52"/>
    <w:rsid w:val="00583590"/>
    <w:rsid w:val="0058445A"/>
    <w:rsid w:val="00584730"/>
    <w:rsid w:val="00584C02"/>
    <w:rsid w:val="0058522D"/>
    <w:rsid w:val="00590219"/>
    <w:rsid w:val="005916B2"/>
    <w:rsid w:val="00593CF8"/>
    <w:rsid w:val="005946AE"/>
    <w:rsid w:val="0059484C"/>
    <w:rsid w:val="005952FC"/>
    <w:rsid w:val="005964FE"/>
    <w:rsid w:val="00597C55"/>
    <w:rsid w:val="005A11CD"/>
    <w:rsid w:val="005A1813"/>
    <w:rsid w:val="005A1EB7"/>
    <w:rsid w:val="005A3420"/>
    <w:rsid w:val="005A3450"/>
    <w:rsid w:val="005A3B24"/>
    <w:rsid w:val="005A3D65"/>
    <w:rsid w:val="005A3D73"/>
    <w:rsid w:val="005A5373"/>
    <w:rsid w:val="005A5547"/>
    <w:rsid w:val="005A5F13"/>
    <w:rsid w:val="005A6152"/>
    <w:rsid w:val="005A6230"/>
    <w:rsid w:val="005A6BF7"/>
    <w:rsid w:val="005A7D8E"/>
    <w:rsid w:val="005B1607"/>
    <w:rsid w:val="005B2366"/>
    <w:rsid w:val="005B26B5"/>
    <w:rsid w:val="005B32E3"/>
    <w:rsid w:val="005B3717"/>
    <w:rsid w:val="005B3D1E"/>
    <w:rsid w:val="005B4062"/>
    <w:rsid w:val="005B42D3"/>
    <w:rsid w:val="005B49F2"/>
    <w:rsid w:val="005B54CD"/>
    <w:rsid w:val="005B5990"/>
    <w:rsid w:val="005B5D29"/>
    <w:rsid w:val="005B65C2"/>
    <w:rsid w:val="005B6D89"/>
    <w:rsid w:val="005B7048"/>
    <w:rsid w:val="005B7320"/>
    <w:rsid w:val="005B7A04"/>
    <w:rsid w:val="005B7A21"/>
    <w:rsid w:val="005C0D5B"/>
    <w:rsid w:val="005C178C"/>
    <w:rsid w:val="005C1E8C"/>
    <w:rsid w:val="005C2C79"/>
    <w:rsid w:val="005C387D"/>
    <w:rsid w:val="005C39DC"/>
    <w:rsid w:val="005C4865"/>
    <w:rsid w:val="005C4899"/>
    <w:rsid w:val="005C5461"/>
    <w:rsid w:val="005C54BE"/>
    <w:rsid w:val="005C56EC"/>
    <w:rsid w:val="005C5A48"/>
    <w:rsid w:val="005C6063"/>
    <w:rsid w:val="005C6BE3"/>
    <w:rsid w:val="005C6D2E"/>
    <w:rsid w:val="005D056F"/>
    <w:rsid w:val="005D1360"/>
    <w:rsid w:val="005D27D8"/>
    <w:rsid w:val="005D280F"/>
    <w:rsid w:val="005D2CE8"/>
    <w:rsid w:val="005D32A1"/>
    <w:rsid w:val="005D45FA"/>
    <w:rsid w:val="005D489C"/>
    <w:rsid w:val="005D51BC"/>
    <w:rsid w:val="005D5971"/>
    <w:rsid w:val="005D5C04"/>
    <w:rsid w:val="005D5EE1"/>
    <w:rsid w:val="005D637A"/>
    <w:rsid w:val="005E022E"/>
    <w:rsid w:val="005E0DD0"/>
    <w:rsid w:val="005E0E04"/>
    <w:rsid w:val="005E1B0C"/>
    <w:rsid w:val="005E2A49"/>
    <w:rsid w:val="005E2C45"/>
    <w:rsid w:val="005E33AE"/>
    <w:rsid w:val="005E391D"/>
    <w:rsid w:val="005E4E60"/>
    <w:rsid w:val="005E51BD"/>
    <w:rsid w:val="005E52AD"/>
    <w:rsid w:val="005E53D7"/>
    <w:rsid w:val="005E5EEF"/>
    <w:rsid w:val="005E67A4"/>
    <w:rsid w:val="005E6CFB"/>
    <w:rsid w:val="005E739B"/>
    <w:rsid w:val="005E76DE"/>
    <w:rsid w:val="005E78BF"/>
    <w:rsid w:val="005E7A5E"/>
    <w:rsid w:val="005F0FEA"/>
    <w:rsid w:val="005F18DD"/>
    <w:rsid w:val="005F41B1"/>
    <w:rsid w:val="005F442E"/>
    <w:rsid w:val="005F4BB4"/>
    <w:rsid w:val="005F4DB5"/>
    <w:rsid w:val="005F508E"/>
    <w:rsid w:val="005F656F"/>
    <w:rsid w:val="005F6D03"/>
    <w:rsid w:val="005F7436"/>
    <w:rsid w:val="005F7AFA"/>
    <w:rsid w:val="005F7B01"/>
    <w:rsid w:val="00600815"/>
    <w:rsid w:val="00600E84"/>
    <w:rsid w:val="0060123C"/>
    <w:rsid w:val="00601ABC"/>
    <w:rsid w:val="00601B31"/>
    <w:rsid w:val="0060249E"/>
    <w:rsid w:val="006028D0"/>
    <w:rsid w:val="00602952"/>
    <w:rsid w:val="00602C67"/>
    <w:rsid w:val="00602F5D"/>
    <w:rsid w:val="006044B8"/>
    <w:rsid w:val="00604857"/>
    <w:rsid w:val="00604879"/>
    <w:rsid w:val="00605283"/>
    <w:rsid w:val="00605CE8"/>
    <w:rsid w:val="0060609B"/>
    <w:rsid w:val="00606EC3"/>
    <w:rsid w:val="00607E38"/>
    <w:rsid w:val="00611D57"/>
    <w:rsid w:val="00611E9E"/>
    <w:rsid w:val="0061328E"/>
    <w:rsid w:val="0061410F"/>
    <w:rsid w:val="00615844"/>
    <w:rsid w:val="0061651C"/>
    <w:rsid w:val="00616C1D"/>
    <w:rsid w:val="00616E82"/>
    <w:rsid w:val="00616EF1"/>
    <w:rsid w:val="006204B5"/>
    <w:rsid w:val="00620CA0"/>
    <w:rsid w:val="0062174E"/>
    <w:rsid w:val="00621A35"/>
    <w:rsid w:val="00621D85"/>
    <w:rsid w:val="00621E7B"/>
    <w:rsid w:val="00622A11"/>
    <w:rsid w:val="00623F01"/>
    <w:rsid w:val="0062447C"/>
    <w:rsid w:val="00625AA6"/>
    <w:rsid w:val="00627973"/>
    <w:rsid w:val="00627EE4"/>
    <w:rsid w:val="00627F0A"/>
    <w:rsid w:val="0063006E"/>
    <w:rsid w:val="006309EF"/>
    <w:rsid w:val="00630B9C"/>
    <w:rsid w:val="00631073"/>
    <w:rsid w:val="0063141F"/>
    <w:rsid w:val="0063153A"/>
    <w:rsid w:val="00631E6E"/>
    <w:rsid w:val="006328FF"/>
    <w:rsid w:val="006336C9"/>
    <w:rsid w:val="00633F13"/>
    <w:rsid w:val="006343EA"/>
    <w:rsid w:val="00634871"/>
    <w:rsid w:val="006364D1"/>
    <w:rsid w:val="00636A54"/>
    <w:rsid w:val="0063722D"/>
    <w:rsid w:val="00641FF6"/>
    <w:rsid w:val="0064309C"/>
    <w:rsid w:val="006434F2"/>
    <w:rsid w:val="00643824"/>
    <w:rsid w:val="00643A63"/>
    <w:rsid w:val="00643ABA"/>
    <w:rsid w:val="00643FE0"/>
    <w:rsid w:val="0064438C"/>
    <w:rsid w:val="00647586"/>
    <w:rsid w:val="00647798"/>
    <w:rsid w:val="00647B1D"/>
    <w:rsid w:val="00647B33"/>
    <w:rsid w:val="00650902"/>
    <w:rsid w:val="006515AF"/>
    <w:rsid w:val="0065221F"/>
    <w:rsid w:val="006529C7"/>
    <w:rsid w:val="006546C3"/>
    <w:rsid w:val="0065508E"/>
    <w:rsid w:val="006551E7"/>
    <w:rsid w:val="00655830"/>
    <w:rsid w:val="0065593E"/>
    <w:rsid w:val="00656430"/>
    <w:rsid w:val="006564BD"/>
    <w:rsid w:val="0065734C"/>
    <w:rsid w:val="00657C20"/>
    <w:rsid w:val="00660541"/>
    <w:rsid w:val="00660735"/>
    <w:rsid w:val="00660ABB"/>
    <w:rsid w:val="00660D57"/>
    <w:rsid w:val="00661F74"/>
    <w:rsid w:val="00662611"/>
    <w:rsid w:val="0066320A"/>
    <w:rsid w:val="006632F8"/>
    <w:rsid w:val="006644CD"/>
    <w:rsid w:val="00664BD4"/>
    <w:rsid w:val="006651E4"/>
    <w:rsid w:val="006653DA"/>
    <w:rsid w:val="00666656"/>
    <w:rsid w:val="00666883"/>
    <w:rsid w:val="00666CDA"/>
    <w:rsid w:val="00667628"/>
    <w:rsid w:val="006708D9"/>
    <w:rsid w:val="00670B06"/>
    <w:rsid w:val="006721C3"/>
    <w:rsid w:val="00672BD4"/>
    <w:rsid w:val="00672C20"/>
    <w:rsid w:val="00672D3B"/>
    <w:rsid w:val="00673525"/>
    <w:rsid w:val="00673707"/>
    <w:rsid w:val="006738E5"/>
    <w:rsid w:val="00673D55"/>
    <w:rsid w:val="00673DB7"/>
    <w:rsid w:val="00675FC3"/>
    <w:rsid w:val="00680BAB"/>
    <w:rsid w:val="00680DDE"/>
    <w:rsid w:val="00682436"/>
    <w:rsid w:val="00683911"/>
    <w:rsid w:val="006854B9"/>
    <w:rsid w:val="00685557"/>
    <w:rsid w:val="00686510"/>
    <w:rsid w:val="00686DD8"/>
    <w:rsid w:val="00690897"/>
    <w:rsid w:val="00690EA4"/>
    <w:rsid w:val="00691217"/>
    <w:rsid w:val="00691765"/>
    <w:rsid w:val="00691ABB"/>
    <w:rsid w:val="00691F97"/>
    <w:rsid w:val="006925AE"/>
    <w:rsid w:val="00692E00"/>
    <w:rsid w:val="00693271"/>
    <w:rsid w:val="00695F27"/>
    <w:rsid w:val="0069707A"/>
    <w:rsid w:val="00697C60"/>
    <w:rsid w:val="00697DE0"/>
    <w:rsid w:val="00697FEE"/>
    <w:rsid w:val="006A0BA5"/>
    <w:rsid w:val="006A18C6"/>
    <w:rsid w:val="006A249F"/>
    <w:rsid w:val="006A276A"/>
    <w:rsid w:val="006A2808"/>
    <w:rsid w:val="006A3AC5"/>
    <w:rsid w:val="006A3CC0"/>
    <w:rsid w:val="006A4F8C"/>
    <w:rsid w:val="006A7049"/>
    <w:rsid w:val="006A737C"/>
    <w:rsid w:val="006A74E1"/>
    <w:rsid w:val="006A7B54"/>
    <w:rsid w:val="006B0345"/>
    <w:rsid w:val="006B0768"/>
    <w:rsid w:val="006B0CBB"/>
    <w:rsid w:val="006B1D0F"/>
    <w:rsid w:val="006B28D5"/>
    <w:rsid w:val="006B33FB"/>
    <w:rsid w:val="006B38C7"/>
    <w:rsid w:val="006B437A"/>
    <w:rsid w:val="006B46F0"/>
    <w:rsid w:val="006B5EF1"/>
    <w:rsid w:val="006B63CF"/>
    <w:rsid w:val="006B7507"/>
    <w:rsid w:val="006B7E21"/>
    <w:rsid w:val="006C1D48"/>
    <w:rsid w:val="006C2466"/>
    <w:rsid w:val="006C274F"/>
    <w:rsid w:val="006C2959"/>
    <w:rsid w:val="006C3976"/>
    <w:rsid w:val="006C4600"/>
    <w:rsid w:val="006C4743"/>
    <w:rsid w:val="006C4C53"/>
    <w:rsid w:val="006C6201"/>
    <w:rsid w:val="006C7852"/>
    <w:rsid w:val="006C7E4C"/>
    <w:rsid w:val="006D0CE6"/>
    <w:rsid w:val="006D3873"/>
    <w:rsid w:val="006D3974"/>
    <w:rsid w:val="006D3C0F"/>
    <w:rsid w:val="006D47EB"/>
    <w:rsid w:val="006D4B11"/>
    <w:rsid w:val="006D4B21"/>
    <w:rsid w:val="006D4E00"/>
    <w:rsid w:val="006D6239"/>
    <w:rsid w:val="006D6706"/>
    <w:rsid w:val="006D6D89"/>
    <w:rsid w:val="006D6DB5"/>
    <w:rsid w:val="006D74B4"/>
    <w:rsid w:val="006E1F6B"/>
    <w:rsid w:val="006E2613"/>
    <w:rsid w:val="006E3E35"/>
    <w:rsid w:val="006E4CC1"/>
    <w:rsid w:val="006E535A"/>
    <w:rsid w:val="006E53CD"/>
    <w:rsid w:val="006E58BF"/>
    <w:rsid w:val="006E599C"/>
    <w:rsid w:val="006E6450"/>
    <w:rsid w:val="006E6ED7"/>
    <w:rsid w:val="006F1A06"/>
    <w:rsid w:val="006F2ABA"/>
    <w:rsid w:val="006F306D"/>
    <w:rsid w:val="006F3358"/>
    <w:rsid w:val="006F3584"/>
    <w:rsid w:val="006F531F"/>
    <w:rsid w:val="006F56F9"/>
    <w:rsid w:val="006F5E2E"/>
    <w:rsid w:val="006F7C42"/>
    <w:rsid w:val="0070027C"/>
    <w:rsid w:val="00701126"/>
    <w:rsid w:val="00701E7E"/>
    <w:rsid w:val="007025F9"/>
    <w:rsid w:val="0070269F"/>
    <w:rsid w:val="007041CD"/>
    <w:rsid w:val="007043D0"/>
    <w:rsid w:val="00704A01"/>
    <w:rsid w:val="00705627"/>
    <w:rsid w:val="007056E6"/>
    <w:rsid w:val="00705A52"/>
    <w:rsid w:val="007065C6"/>
    <w:rsid w:val="00706BFB"/>
    <w:rsid w:val="00707F7B"/>
    <w:rsid w:val="00710D0A"/>
    <w:rsid w:val="00711E21"/>
    <w:rsid w:val="00712AC4"/>
    <w:rsid w:val="00713048"/>
    <w:rsid w:val="007143C7"/>
    <w:rsid w:val="00715031"/>
    <w:rsid w:val="007174C7"/>
    <w:rsid w:val="007208AD"/>
    <w:rsid w:val="00720995"/>
    <w:rsid w:val="00720D44"/>
    <w:rsid w:val="00720F46"/>
    <w:rsid w:val="00721C70"/>
    <w:rsid w:val="0072277C"/>
    <w:rsid w:val="00724335"/>
    <w:rsid w:val="00724F13"/>
    <w:rsid w:val="00725E3F"/>
    <w:rsid w:val="00730C40"/>
    <w:rsid w:val="0073121A"/>
    <w:rsid w:val="00731544"/>
    <w:rsid w:val="00732C4F"/>
    <w:rsid w:val="007333AA"/>
    <w:rsid w:val="00733EF4"/>
    <w:rsid w:val="00734049"/>
    <w:rsid w:val="0073406B"/>
    <w:rsid w:val="007347D1"/>
    <w:rsid w:val="00736158"/>
    <w:rsid w:val="007365B5"/>
    <w:rsid w:val="00736816"/>
    <w:rsid w:val="00737185"/>
    <w:rsid w:val="007412AE"/>
    <w:rsid w:val="00742E2F"/>
    <w:rsid w:val="00743C5F"/>
    <w:rsid w:val="00743FC6"/>
    <w:rsid w:val="0074414F"/>
    <w:rsid w:val="00744A72"/>
    <w:rsid w:val="00744FDE"/>
    <w:rsid w:val="00746AE7"/>
    <w:rsid w:val="00750A57"/>
    <w:rsid w:val="007519E7"/>
    <w:rsid w:val="00751CBA"/>
    <w:rsid w:val="00752877"/>
    <w:rsid w:val="00752A04"/>
    <w:rsid w:val="00752B07"/>
    <w:rsid w:val="00752BB3"/>
    <w:rsid w:val="007555D4"/>
    <w:rsid w:val="00755C5D"/>
    <w:rsid w:val="00756545"/>
    <w:rsid w:val="0075700E"/>
    <w:rsid w:val="007570CB"/>
    <w:rsid w:val="0075759C"/>
    <w:rsid w:val="00757888"/>
    <w:rsid w:val="007608B6"/>
    <w:rsid w:val="0076116A"/>
    <w:rsid w:val="00761203"/>
    <w:rsid w:val="00761755"/>
    <w:rsid w:val="00761A79"/>
    <w:rsid w:val="00761E7F"/>
    <w:rsid w:val="007620C3"/>
    <w:rsid w:val="00763DEF"/>
    <w:rsid w:val="00763E36"/>
    <w:rsid w:val="00765B7B"/>
    <w:rsid w:val="007661BF"/>
    <w:rsid w:val="00767849"/>
    <w:rsid w:val="00770355"/>
    <w:rsid w:val="00770644"/>
    <w:rsid w:val="00772220"/>
    <w:rsid w:val="00772455"/>
    <w:rsid w:val="00773416"/>
    <w:rsid w:val="00774AFD"/>
    <w:rsid w:val="00775FCB"/>
    <w:rsid w:val="00776346"/>
    <w:rsid w:val="0077691C"/>
    <w:rsid w:val="00776D82"/>
    <w:rsid w:val="007803C8"/>
    <w:rsid w:val="00780974"/>
    <w:rsid w:val="00780C27"/>
    <w:rsid w:val="007825E9"/>
    <w:rsid w:val="00783A64"/>
    <w:rsid w:val="00784398"/>
    <w:rsid w:val="007851E5"/>
    <w:rsid w:val="00785455"/>
    <w:rsid w:val="00785966"/>
    <w:rsid w:val="007865C4"/>
    <w:rsid w:val="00786A9E"/>
    <w:rsid w:val="00786EA9"/>
    <w:rsid w:val="0078730D"/>
    <w:rsid w:val="00787768"/>
    <w:rsid w:val="00787E17"/>
    <w:rsid w:val="007918C7"/>
    <w:rsid w:val="007938E0"/>
    <w:rsid w:val="00794322"/>
    <w:rsid w:val="00794E90"/>
    <w:rsid w:val="007A0581"/>
    <w:rsid w:val="007A1812"/>
    <w:rsid w:val="007A1D17"/>
    <w:rsid w:val="007A36DB"/>
    <w:rsid w:val="007A4196"/>
    <w:rsid w:val="007A49EA"/>
    <w:rsid w:val="007A4DF6"/>
    <w:rsid w:val="007A5525"/>
    <w:rsid w:val="007A645D"/>
    <w:rsid w:val="007A7055"/>
    <w:rsid w:val="007A7E06"/>
    <w:rsid w:val="007B09CA"/>
    <w:rsid w:val="007B0BFB"/>
    <w:rsid w:val="007B18E8"/>
    <w:rsid w:val="007B19D6"/>
    <w:rsid w:val="007B1B1A"/>
    <w:rsid w:val="007B1C89"/>
    <w:rsid w:val="007B1E9E"/>
    <w:rsid w:val="007B20B8"/>
    <w:rsid w:val="007B23FA"/>
    <w:rsid w:val="007B2606"/>
    <w:rsid w:val="007B2A65"/>
    <w:rsid w:val="007B35DC"/>
    <w:rsid w:val="007B45C3"/>
    <w:rsid w:val="007B460A"/>
    <w:rsid w:val="007B4F10"/>
    <w:rsid w:val="007B6517"/>
    <w:rsid w:val="007B6A17"/>
    <w:rsid w:val="007B6C8B"/>
    <w:rsid w:val="007B720B"/>
    <w:rsid w:val="007B7404"/>
    <w:rsid w:val="007B7941"/>
    <w:rsid w:val="007C3CCB"/>
    <w:rsid w:val="007C4412"/>
    <w:rsid w:val="007C4ECD"/>
    <w:rsid w:val="007C51D3"/>
    <w:rsid w:val="007C53E9"/>
    <w:rsid w:val="007C575A"/>
    <w:rsid w:val="007C5BDA"/>
    <w:rsid w:val="007C6C83"/>
    <w:rsid w:val="007C7244"/>
    <w:rsid w:val="007D1885"/>
    <w:rsid w:val="007D26CC"/>
    <w:rsid w:val="007D2997"/>
    <w:rsid w:val="007D313C"/>
    <w:rsid w:val="007D3514"/>
    <w:rsid w:val="007D39D7"/>
    <w:rsid w:val="007D40DF"/>
    <w:rsid w:val="007D4B3F"/>
    <w:rsid w:val="007D4B96"/>
    <w:rsid w:val="007D50D3"/>
    <w:rsid w:val="007D5223"/>
    <w:rsid w:val="007D528C"/>
    <w:rsid w:val="007D5C4A"/>
    <w:rsid w:val="007D6261"/>
    <w:rsid w:val="007D6F70"/>
    <w:rsid w:val="007D7757"/>
    <w:rsid w:val="007E0EB9"/>
    <w:rsid w:val="007E1607"/>
    <w:rsid w:val="007E1D11"/>
    <w:rsid w:val="007E2153"/>
    <w:rsid w:val="007E2935"/>
    <w:rsid w:val="007E3245"/>
    <w:rsid w:val="007E3387"/>
    <w:rsid w:val="007E3FA8"/>
    <w:rsid w:val="007E4B1C"/>
    <w:rsid w:val="007E4BA8"/>
    <w:rsid w:val="007E55FE"/>
    <w:rsid w:val="007E7F5D"/>
    <w:rsid w:val="007F0295"/>
    <w:rsid w:val="007F0389"/>
    <w:rsid w:val="007F0651"/>
    <w:rsid w:val="007F1293"/>
    <w:rsid w:val="007F1B62"/>
    <w:rsid w:val="007F2B65"/>
    <w:rsid w:val="007F348B"/>
    <w:rsid w:val="007F4BCE"/>
    <w:rsid w:val="007F4FAC"/>
    <w:rsid w:val="007F6472"/>
    <w:rsid w:val="00800AEB"/>
    <w:rsid w:val="00800D31"/>
    <w:rsid w:val="00801D8E"/>
    <w:rsid w:val="00801FE3"/>
    <w:rsid w:val="0080236D"/>
    <w:rsid w:val="00803F0A"/>
    <w:rsid w:val="00805068"/>
    <w:rsid w:val="00805567"/>
    <w:rsid w:val="008059DB"/>
    <w:rsid w:val="00805C46"/>
    <w:rsid w:val="00807F29"/>
    <w:rsid w:val="0081007A"/>
    <w:rsid w:val="00813CEF"/>
    <w:rsid w:val="00813F31"/>
    <w:rsid w:val="0081497C"/>
    <w:rsid w:val="00815D33"/>
    <w:rsid w:val="00816AB0"/>
    <w:rsid w:val="00816D8C"/>
    <w:rsid w:val="00816D9A"/>
    <w:rsid w:val="00817880"/>
    <w:rsid w:val="00821032"/>
    <w:rsid w:val="0082124D"/>
    <w:rsid w:val="00822B62"/>
    <w:rsid w:val="008238D8"/>
    <w:rsid w:val="00824B69"/>
    <w:rsid w:val="00825B1F"/>
    <w:rsid w:val="008260FE"/>
    <w:rsid w:val="00826531"/>
    <w:rsid w:val="00826B7A"/>
    <w:rsid w:val="0082708C"/>
    <w:rsid w:val="0083017E"/>
    <w:rsid w:val="008310D7"/>
    <w:rsid w:val="00831B28"/>
    <w:rsid w:val="00831CE8"/>
    <w:rsid w:val="00831E1B"/>
    <w:rsid w:val="0083321F"/>
    <w:rsid w:val="008337C8"/>
    <w:rsid w:val="00835011"/>
    <w:rsid w:val="008351C9"/>
    <w:rsid w:val="008355BC"/>
    <w:rsid w:val="008358BA"/>
    <w:rsid w:val="0083683E"/>
    <w:rsid w:val="008369B9"/>
    <w:rsid w:val="00836BC3"/>
    <w:rsid w:val="00836C3E"/>
    <w:rsid w:val="00836EF8"/>
    <w:rsid w:val="00840EA8"/>
    <w:rsid w:val="00841443"/>
    <w:rsid w:val="00841B4D"/>
    <w:rsid w:val="0084214B"/>
    <w:rsid w:val="00842185"/>
    <w:rsid w:val="00842273"/>
    <w:rsid w:val="00842CF0"/>
    <w:rsid w:val="00843B39"/>
    <w:rsid w:val="00844856"/>
    <w:rsid w:val="00844D8C"/>
    <w:rsid w:val="00845566"/>
    <w:rsid w:val="00850AD0"/>
    <w:rsid w:val="00851871"/>
    <w:rsid w:val="0085253E"/>
    <w:rsid w:val="00852DC4"/>
    <w:rsid w:val="0085306F"/>
    <w:rsid w:val="00854859"/>
    <w:rsid w:val="00854A18"/>
    <w:rsid w:val="00854C4D"/>
    <w:rsid w:val="0085650A"/>
    <w:rsid w:val="00856703"/>
    <w:rsid w:val="0085709B"/>
    <w:rsid w:val="0085787A"/>
    <w:rsid w:val="00860106"/>
    <w:rsid w:val="00860339"/>
    <w:rsid w:val="008610D5"/>
    <w:rsid w:val="00861EA8"/>
    <w:rsid w:val="0086272D"/>
    <w:rsid w:val="00862BC3"/>
    <w:rsid w:val="00862E6D"/>
    <w:rsid w:val="00863953"/>
    <w:rsid w:val="00863B5C"/>
    <w:rsid w:val="00864BFA"/>
    <w:rsid w:val="00864C8E"/>
    <w:rsid w:val="00865099"/>
    <w:rsid w:val="0086603B"/>
    <w:rsid w:val="00866753"/>
    <w:rsid w:val="00866E52"/>
    <w:rsid w:val="0086737A"/>
    <w:rsid w:val="00867FA9"/>
    <w:rsid w:val="00870717"/>
    <w:rsid w:val="00870908"/>
    <w:rsid w:val="00870AF8"/>
    <w:rsid w:val="00871777"/>
    <w:rsid w:val="00872F7A"/>
    <w:rsid w:val="008744BA"/>
    <w:rsid w:val="00874FFB"/>
    <w:rsid w:val="00875213"/>
    <w:rsid w:val="008766EF"/>
    <w:rsid w:val="0087673E"/>
    <w:rsid w:val="008777B4"/>
    <w:rsid w:val="00877A71"/>
    <w:rsid w:val="00877CC8"/>
    <w:rsid w:val="00880B87"/>
    <w:rsid w:val="00881758"/>
    <w:rsid w:val="0088300E"/>
    <w:rsid w:val="008842F2"/>
    <w:rsid w:val="0088472B"/>
    <w:rsid w:val="00884B92"/>
    <w:rsid w:val="00885541"/>
    <w:rsid w:val="00885CE1"/>
    <w:rsid w:val="00885CF6"/>
    <w:rsid w:val="00890D3C"/>
    <w:rsid w:val="00891125"/>
    <w:rsid w:val="008913E9"/>
    <w:rsid w:val="00891D0F"/>
    <w:rsid w:val="00891D4E"/>
    <w:rsid w:val="00891F65"/>
    <w:rsid w:val="008932CD"/>
    <w:rsid w:val="008933D9"/>
    <w:rsid w:val="00893511"/>
    <w:rsid w:val="0089392B"/>
    <w:rsid w:val="008939D3"/>
    <w:rsid w:val="00893A20"/>
    <w:rsid w:val="00894277"/>
    <w:rsid w:val="00894739"/>
    <w:rsid w:val="0089529C"/>
    <w:rsid w:val="00896A77"/>
    <w:rsid w:val="00896BCE"/>
    <w:rsid w:val="0089724A"/>
    <w:rsid w:val="00897D84"/>
    <w:rsid w:val="008A0090"/>
    <w:rsid w:val="008A02AE"/>
    <w:rsid w:val="008A5E5D"/>
    <w:rsid w:val="008A743D"/>
    <w:rsid w:val="008A7EC2"/>
    <w:rsid w:val="008B1D38"/>
    <w:rsid w:val="008B2985"/>
    <w:rsid w:val="008B2CC1"/>
    <w:rsid w:val="008B3D55"/>
    <w:rsid w:val="008B4776"/>
    <w:rsid w:val="008B4DD4"/>
    <w:rsid w:val="008B6962"/>
    <w:rsid w:val="008C07F1"/>
    <w:rsid w:val="008C3088"/>
    <w:rsid w:val="008C31F4"/>
    <w:rsid w:val="008C4583"/>
    <w:rsid w:val="008C48DF"/>
    <w:rsid w:val="008C4D44"/>
    <w:rsid w:val="008C5048"/>
    <w:rsid w:val="008C7E1B"/>
    <w:rsid w:val="008D09FF"/>
    <w:rsid w:val="008D0CE6"/>
    <w:rsid w:val="008D177A"/>
    <w:rsid w:val="008D17F3"/>
    <w:rsid w:val="008D20CD"/>
    <w:rsid w:val="008D3CDB"/>
    <w:rsid w:val="008D3F21"/>
    <w:rsid w:val="008D5370"/>
    <w:rsid w:val="008D562A"/>
    <w:rsid w:val="008D76E0"/>
    <w:rsid w:val="008E1A3E"/>
    <w:rsid w:val="008E1D88"/>
    <w:rsid w:val="008E25D0"/>
    <w:rsid w:val="008E3822"/>
    <w:rsid w:val="008E3DF6"/>
    <w:rsid w:val="008E3EEF"/>
    <w:rsid w:val="008E4A9C"/>
    <w:rsid w:val="008E4B7A"/>
    <w:rsid w:val="008E5999"/>
    <w:rsid w:val="008E5D2B"/>
    <w:rsid w:val="008E7DC3"/>
    <w:rsid w:val="008F0C36"/>
    <w:rsid w:val="008F0E47"/>
    <w:rsid w:val="008F12A1"/>
    <w:rsid w:val="008F15F7"/>
    <w:rsid w:val="008F2CF6"/>
    <w:rsid w:val="008F36F8"/>
    <w:rsid w:val="008F44C6"/>
    <w:rsid w:val="008F4A6F"/>
    <w:rsid w:val="008F4BAC"/>
    <w:rsid w:val="008F52AF"/>
    <w:rsid w:val="008F5A36"/>
    <w:rsid w:val="008F5F3F"/>
    <w:rsid w:val="008F6244"/>
    <w:rsid w:val="008F6594"/>
    <w:rsid w:val="008F6C43"/>
    <w:rsid w:val="0090132F"/>
    <w:rsid w:val="009016DF"/>
    <w:rsid w:val="0090240F"/>
    <w:rsid w:val="00903115"/>
    <w:rsid w:val="0090395C"/>
    <w:rsid w:val="00905613"/>
    <w:rsid w:val="00905961"/>
    <w:rsid w:val="00905A9E"/>
    <w:rsid w:val="00905B3B"/>
    <w:rsid w:val="0090614C"/>
    <w:rsid w:val="009064E7"/>
    <w:rsid w:val="009068E0"/>
    <w:rsid w:val="0091080C"/>
    <w:rsid w:val="00911AAF"/>
    <w:rsid w:val="00911EEC"/>
    <w:rsid w:val="00911FE3"/>
    <w:rsid w:val="00912432"/>
    <w:rsid w:val="009128C5"/>
    <w:rsid w:val="009130FF"/>
    <w:rsid w:val="00913BB8"/>
    <w:rsid w:val="009149FE"/>
    <w:rsid w:val="009167D7"/>
    <w:rsid w:val="00916ED5"/>
    <w:rsid w:val="0091798F"/>
    <w:rsid w:val="0092050C"/>
    <w:rsid w:val="009209A0"/>
    <w:rsid w:val="009232C4"/>
    <w:rsid w:val="009238D8"/>
    <w:rsid w:val="009245CC"/>
    <w:rsid w:val="00924CA5"/>
    <w:rsid w:val="00925CE3"/>
    <w:rsid w:val="00925F94"/>
    <w:rsid w:val="0092616C"/>
    <w:rsid w:val="00926ACE"/>
    <w:rsid w:val="00926E63"/>
    <w:rsid w:val="009307E4"/>
    <w:rsid w:val="00934384"/>
    <w:rsid w:val="0093517E"/>
    <w:rsid w:val="00935871"/>
    <w:rsid w:val="00935A3B"/>
    <w:rsid w:val="00935C38"/>
    <w:rsid w:val="00936E52"/>
    <w:rsid w:val="009377AF"/>
    <w:rsid w:val="00941815"/>
    <w:rsid w:val="009423DC"/>
    <w:rsid w:val="0094358E"/>
    <w:rsid w:val="00945D9A"/>
    <w:rsid w:val="0094699A"/>
    <w:rsid w:val="00946A47"/>
    <w:rsid w:val="009472DD"/>
    <w:rsid w:val="00947816"/>
    <w:rsid w:val="00947942"/>
    <w:rsid w:val="00947E1C"/>
    <w:rsid w:val="009515FF"/>
    <w:rsid w:val="00951642"/>
    <w:rsid w:val="00951BF6"/>
    <w:rsid w:val="00952EDF"/>
    <w:rsid w:val="00953117"/>
    <w:rsid w:val="00953797"/>
    <w:rsid w:val="00954D45"/>
    <w:rsid w:val="009550AC"/>
    <w:rsid w:val="009554C8"/>
    <w:rsid w:val="00955C09"/>
    <w:rsid w:val="00956A8C"/>
    <w:rsid w:val="0095710C"/>
    <w:rsid w:val="009571F2"/>
    <w:rsid w:val="0095739E"/>
    <w:rsid w:val="00957A33"/>
    <w:rsid w:val="00960797"/>
    <w:rsid w:val="00960E51"/>
    <w:rsid w:val="00961E5E"/>
    <w:rsid w:val="00962947"/>
    <w:rsid w:val="00962BDB"/>
    <w:rsid w:val="00965C81"/>
    <w:rsid w:val="009672CF"/>
    <w:rsid w:val="00967665"/>
    <w:rsid w:val="009708B7"/>
    <w:rsid w:val="00971249"/>
    <w:rsid w:val="00972695"/>
    <w:rsid w:val="00973005"/>
    <w:rsid w:val="00973930"/>
    <w:rsid w:val="00973FF4"/>
    <w:rsid w:val="0097500B"/>
    <w:rsid w:val="00975018"/>
    <w:rsid w:val="00975237"/>
    <w:rsid w:val="00975D5F"/>
    <w:rsid w:val="00976227"/>
    <w:rsid w:val="009769B3"/>
    <w:rsid w:val="00977354"/>
    <w:rsid w:val="00977E75"/>
    <w:rsid w:val="009824CF"/>
    <w:rsid w:val="009829CA"/>
    <w:rsid w:val="00984636"/>
    <w:rsid w:val="009849BD"/>
    <w:rsid w:val="00985575"/>
    <w:rsid w:val="009858FE"/>
    <w:rsid w:val="009864A4"/>
    <w:rsid w:val="00987A84"/>
    <w:rsid w:val="00987BEC"/>
    <w:rsid w:val="0099122B"/>
    <w:rsid w:val="00992835"/>
    <w:rsid w:val="00992B2F"/>
    <w:rsid w:val="00993016"/>
    <w:rsid w:val="009935F1"/>
    <w:rsid w:val="00993DFF"/>
    <w:rsid w:val="0099434D"/>
    <w:rsid w:val="009961A1"/>
    <w:rsid w:val="00996E31"/>
    <w:rsid w:val="009973F1"/>
    <w:rsid w:val="00997790"/>
    <w:rsid w:val="009A0C1F"/>
    <w:rsid w:val="009A1F12"/>
    <w:rsid w:val="009A242E"/>
    <w:rsid w:val="009A29F6"/>
    <w:rsid w:val="009A2A37"/>
    <w:rsid w:val="009A34CE"/>
    <w:rsid w:val="009A3E02"/>
    <w:rsid w:val="009A588D"/>
    <w:rsid w:val="009A5D68"/>
    <w:rsid w:val="009A6F11"/>
    <w:rsid w:val="009A6FAF"/>
    <w:rsid w:val="009A7393"/>
    <w:rsid w:val="009A74E0"/>
    <w:rsid w:val="009A75EE"/>
    <w:rsid w:val="009A7D04"/>
    <w:rsid w:val="009B09F2"/>
    <w:rsid w:val="009B1333"/>
    <w:rsid w:val="009B1E3E"/>
    <w:rsid w:val="009B2263"/>
    <w:rsid w:val="009B25EA"/>
    <w:rsid w:val="009B2743"/>
    <w:rsid w:val="009B290A"/>
    <w:rsid w:val="009B32C4"/>
    <w:rsid w:val="009B3F6C"/>
    <w:rsid w:val="009B5332"/>
    <w:rsid w:val="009B72F4"/>
    <w:rsid w:val="009B750F"/>
    <w:rsid w:val="009C03D9"/>
    <w:rsid w:val="009C2C47"/>
    <w:rsid w:val="009C2D8F"/>
    <w:rsid w:val="009C3B22"/>
    <w:rsid w:val="009C3DCD"/>
    <w:rsid w:val="009C42C1"/>
    <w:rsid w:val="009C6020"/>
    <w:rsid w:val="009C69C5"/>
    <w:rsid w:val="009C74D5"/>
    <w:rsid w:val="009C7E51"/>
    <w:rsid w:val="009D0395"/>
    <w:rsid w:val="009D0423"/>
    <w:rsid w:val="009D0A62"/>
    <w:rsid w:val="009D0BF5"/>
    <w:rsid w:val="009D1284"/>
    <w:rsid w:val="009D1529"/>
    <w:rsid w:val="009D214A"/>
    <w:rsid w:val="009D2FE4"/>
    <w:rsid w:val="009D5EB7"/>
    <w:rsid w:val="009D5FDC"/>
    <w:rsid w:val="009D6F92"/>
    <w:rsid w:val="009D6FD6"/>
    <w:rsid w:val="009D75FA"/>
    <w:rsid w:val="009D7BF4"/>
    <w:rsid w:val="009D7CEB"/>
    <w:rsid w:val="009D7F33"/>
    <w:rsid w:val="009D7FC0"/>
    <w:rsid w:val="009E167A"/>
    <w:rsid w:val="009E2142"/>
    <w:rsid w:val="009E3AFF"/>
    <w:rsid w:val="009E3C19"/>
    <w:rsid w:val="009E462F"/>
    <w:rsid w:val="009E4A5E"/>
    <w:rsid w:val="009E548A"/>
    <w:rsid w:val="009E67C6"/>
    <w:rsid w:val="009E7193"/>
    <w:rsid w:val="009F08E9"/>
    <w:rsid w:val="009F1973"/>
    <w:rsid w:val="009F1DA6"/>
    <w:rsid w:val="009F1E82"/>
    <w:rsid w:val="009F2584"/>
    <w:rsid w:val="009F28DE"/>
    <w:rsid w:val="009F29BA"/>
    <w:rsid w:val="009F303D"/>
    <w:rsid w:val="009F5107"/>
    <w:rsid w:val="009F511A"/>
    <w:rsid w:val="009F57DF"/>
    <w:rsid w:val="009F5FB7"/>
    <w:rsid w:val="009F6816"/>
    <w:rsid w:val="009F6F0F"/>
    <w:rsid w:val="009F79AC"/>
    <w:rsid w:val="00A000D0"/>
    <w:rsid w:val="00A00B4D"/>
    <w:rsid w:val="00A01007"/>
    <w:rsid w:val="00A02444"/>
    <w:rsid w:val="00A02BCD"/>
    <w:rsid w:val="00A0320D"/>
    <w:rsid w:val="00A03F19"/>
    <w:rsid w:val="00A05D5D"/>
    <w:rsid w:val="00A11577"/>
    <w:rsid w:val="00A118A6"/>
    <w:rsid w:val="00A11A90"/>
    <w:rsid w:val="00A124C8"/>
    <w:rsid w:val="00A13A51"/>
    <w:rsid w:val="00A14435"/>
    <w:rsid w:val="00A1568B"/>
    <w:rsid w:val="00A1580B"/>
    <w:rsid w:val="00A15C51"/>
    <w:rsid w:val="00A173B8"/>
    <w:rsid w:val="00A17D88"/>
    <w:rsid w:val="00A203AA"/>
    <w:rsid w:val="00A21001"/>
    <w:rsid w:val="00A21934"/>
    <w:rsid w:val="00A21C94"/>
    <w:rsid w:val="00A21F82"/>
    <w:rsid w:val="00A2217E"/>
    <w:rsid w:val="00A22E03"/>
    <w:rsid w:val="00A230DE"/>
    <w:rsid w:val="00A23984"/>
    <w:rsid w:val="00A23F34"/>
    <w:rsid w:val="00A244EF"/>
    <w:rsid w:val="00A248E4"/>
    <w:rsid w:val="00A2498A"/>
    <w:rsid w:val="00A250CC"/>
    <w:rsid w:val="00A254F5"/>
    <w:rsid w:val="00A25C66"/>
    <w:rsid w:val="00A25CCC"/>
    <w:rsid w:val="00A25FF2"/>
    <w:rsid w:val="00A26165"/>
    <w:rsid w:val="00A27456"/>
    <w:rsid w:val="00A27639"/>
    <w:rsid w:val="00A2771F"/>
    <w:rsid w:val="00A279D3"/>
    <w:rsid w:val="00A27A8F"/>
    <w:rsid w:val="00A30122"/>
    <w:rsid w:val="00A310F8"/>
    <w:rsid w:val="00A31499"/>
    <w:rsid w:val="00A32CB4"/>
    <w:rsid w:val="00A3466A"/>
    <w:rsid w:val="00A348B8"/>
    <w:rsid w:val="00A35A6D"/>
    <w:rsid w:val="00A361C1"/>
    <w:rsid w:val="00A364F7"/>
    <w:rsid w:val="00A369D1"/>
    <w:rsid w:val="00A406EF"/>
    <w:rsid w:val="00A40953"/>
    <w:rsid w:val="00A40C15"/>
    <w:rsid w:val="00A40F7F"/>
    <w:rsid w:val="00A42ABF"/>
    <w:rsid w:val="00A439AB"/>
    <w:rsid w:val="00A44C93"/>
    <w:rsid w:val="00A4540E"/>
    <w:rsid w:val="00A46487"/>
    <w:rsid w:val="00A465D7"/>
    <w:rsid w:val="00A46DE0"/>
    <w:rsid w:val="00A47566"/>
    <w:rsid w:val="00A47831"/>
    <w:rsid w:val="00A50942"/>
    <w:rsid w:val="00A511B1"/>
    <w:rsid w:val="00A514DA"/>
    <w:rsid w:val="00A5198B"/>
    <w:rsid w:val="00A51B92"/>
    <w:rsid w:val="00A51BBE"/>
    <w:rsid w:val="00A52FF7"/>
    <w:rsid w:val="00A54714"/>
    <w:rsid w:val="00A55368"/>
    <w:rsid w:val="00A55D1F"/>
    <w:rsid w:val="00A60909"/>
    <w:rsid w:val="00A60AB4"/>
    <w:rsid w:val="00A619DC"/>
    <w:rsid w:val="00A636A8"/>
    <w:rsid w:val="00A64480"/>
    <w:rsid w:val="00A64631"/>
    <w:rsid w:val="00A64A0E"/>
    <w:rsid w:val="00A64E97"/>
    <w:rsid w:val="00A65D94"/>
    <w:rsid w:val="00A66674"/>
    <w:rsid w:val="00A66A96"/>
    <w:rsid w:val="00A66AFD"/>
    <w:rsid w:val="00A66E14"/>
    <w:rsid w:val="00A67014"/>
    <w:rsid w:val="00A67040"/>
    <w:rsid w:val="00A67228"/>
    <w:rsid w:val="00A674ED"/>
    <w:rsid w:val="00A67B94"/>
    <w:rsid w:val="00A70203"/>
    <w:rsid w:val="00A7059D"/>
    <w:rsid w:val="00A714EB"/>
    <w:rsid w:val="00A71680"/>
    <w:rsid w:val="00A71C55"/>
    <w:rsid w:val="00A71E02"/>
    <w:rsid w:val="00A72323"/>
    <w:rsid w:val="00A7291A"/>
    <w:rsid w:val="00A72AF9"/>
    <w:rsid w:val="00A72E26"/>
    <w:rsid w:val="00A73CFA"/>
    <w:rsid w:val="00A75893"/>
    <w:rsid w:val="00A8010F"/>
    <w:rsid w:val="00A80907"/>
    <w:rsid w:val="00A80F5F"/>
    <w:rsid w:val="00A81584"/>
    <w:rsid w:val="00A81929"/>
    <w:rsid w:val="00A82A21"/>
    <w:rsid w:val="00A83507"/>
    <w:rsid w:val="00A844B9"/>
    <w:rsid w:val="00A84572"/>
    <w:rsid w:val="00A84DF8"/>
    <w:rsid w:val="00A8551A"/>
    <w:rsid w:val="00A85999"/>
    <w:rsid w:val="00A85DC8"/>
    <w:rsid w:val="00A86FE8"/>
    <w:rsid w:val="00A875A1"/>
    <w:rsid w:val="00A90E04"/>
    <w:rsid w:val="00A90E36"/>
    <w:rsid w:val="00A9190A"/>
    <w:rsid w:val="00A91B63"/>
    <w:rsid w:val="00A91F84"/>
    <w:rsid w:val="00A93615"/>
    <w:rsid w:val="00A93754"/>
    <w:rsid w:val="00A93928"/>
    <w:rsid w:val="00A93DDC"/>
    <w:rsid w:val="00A94C09"/>
    <w:rsid w:val="00A9659E"/>
    <w:rsid w:val="00A965C5"/>
    <w:rsid w:val="00A96EFF"/>
    <w:rsid w:val="00A977D0"/>
    <w:rsid w:val="00AA01D6"/>
    <w:rsid w:val="00AA0992"/>
    <w:rsid w:val="00AA0BA8"/>
    <w:rsid w:val="00AA13D6"/>
    <w:rsid w:val="00AA2392"/>
    <w:rsid w:val="00AA2889"/>
    <w:rsid w:val="00AA2992"/>
    <w:rsid w:val="00AA2C21"/>
    <w:rsid w:val="00AA2F49"/>
    <w:rsid w:val="00AA3017"/>
    <w:rsid w:val="00AA3557"/>
    <w:rsid w:val="00AA403F"/>
    <w:rsid w:val="00AA546A"/>
    <w:rsid w:val="00AA5B60"/>
    <w:rsid w:val="00AA63C7"/>
    <w:rsid w:val="00AA6E77"/>
    <w:rsid w:val="00AA794D"/>
    <w:rsid w:val="00AA7DEB"/>
    <w:rsid w:val="00AA7EF1"/>
    <w:rsid w:val="00AB0B12"/>
    <w:rsid w:val="00AB154A"/>
    <w:rsid w:val="00AB2637"/>
    <w:rsid w:val="00AB33B9"/>
    <w:rsid w:val="00AB4841"/>
    <w:rsid w:val="00AB5952"/>
    <w:rsid w:val="00AB5A49"/>
    <w:rsid w:val="00AB680F"/>
    <w:rsid w:val="00AB73BC"/>
    <w:rsid w:val="00AB78D9"/>
    <w:rsid w:val="00AB79DF"/>
    <w:rsid w:val="00AC1140"/>
    <w:rsid w:val="00AC1859"/>
    <w:rsid w:val="00AC2493"/>
    <w:rsid w:val="00AC2759"/>
    <w:rsid w:val="00AC3313"/>
    <w:rsid w:val="00AC3FA6"/>
    <w:rsid w:val="00AC5074"/>
    <w:rsid w:val="00AC5459"/>
    <w:rsid w:val="00AC6A3E"/>
    <w:rsid w:val="00AD1562"/>
    <w:rsid w:val="00AD18D4"/>
    <w:rsid w:val="00AD2109"/>
    <w:rsid w:val="00AD2900"/>
    <w:rsid w:val="00AD2BF3"/>
    <w:rsid w:val="00AD50EE"/>
    <w:rsid w:val="00AD5345"/>
    <w:rsid w:val="00AD6401"/>
    <w:rsid w:val="00AE0062"/>
    <w:rsid w:val="00AE05C4"/>
    <w:rsid w:val="00AE18F4"/>
    <w:rsid w:val="00AE20D3"/>
    <w:rsid w:val="00AE2581"/>
    <w:rsid w:val="00AE2709"/>
    <w:rsid w:val="00AE287E"/>
    <w:rsid w:val="00AE2BB4"/>
    <w:rsid w:val="00AE30CC"/>
    <w:rsid w:val="00AE3D8B"/>
    <w:rsid w:val="00AE5D9A"/>
    <w:rsid w:val="00AE72AE"/>
    <w:rsid w:val="00AF0205"/>
    <w:rsid w:val="00AF0420"/>
    <w:rsid w:val="00AF1D81"/>
    <w:rsid w:val="00AF1D86"/>
    <w:rsid w:val="00AF1FB4"/>
    <w:rsid w:val="00AF2914"/>
    <w:rsid w:val="00AF2DFC"/>
    <w:rsid w:val="00AF35B2"/>
    <w:rsid w:val="00AF43E9"/>
    <w:rsid w:val="00AF48EF"/>
    <w:rsid w:val="00AF52BA"/>
    <w:rsid w:val="00AF56D3"/>
    <w:rsid w:val="00AF65D3"/>
    <w:rsid w:val="00AF6A02"/>
    <w:rsid w:val="00AF7743"/>
    <w:rsid w:val="00AF77D2"/>
    <w:rsid w:val="00B0114B"/>
    <w:rsid w:val="00B019CA"/>
    <w:rsid w:val="00B01EA6"/>
    <w:rsid w:val="00B026CD"/>
    <w:rsid w:val="00B026E9"/>
    <w:rsid w:val="00B02A74"/>
    <w:rsid w:val="00B04713"/>
    <w:rsid w:val="00B04B5F"/>
    <w:rsid w:val="00B05E20"/>
    <w:rsid w:val="00B06453"/>
    <w:rsid w:val="00B070A7"/>
    <w:rsid w:val="00B077AF"/>
    <w:rsid w:val="00B07B93"/>
    <w:rsid w:val="00B07D5A"/>
    <w:rsid w:val="00B07FC6"/>
    <w:rsid w:val="00B105D5"/>
    <w:rsid w:val="00B1096D"/>
    <w:rsid w:val="00B10A5C"/>
    <w:rsid w:val="00B12DFE"/>
    <w:rsid w:val="00B1358F"/>
    <w:rsid w:val="00B13A64"/>
    <w:rsid w:val="00B13EA6"/>
    <w:rsid w:val="00B14713"/>
    <w:rsid w:val="00B157A1"/>
    <w:rsid w:val="00B15B95"/>
    <w:rsid w:val="00B15CCC"/>
    <w:rsid w:val="00B162A6"/>
    <w:rsid w:val="00B168C6"/>
    <w:rsid w:val="00B16ADC"/>
    <w:rsid w:val="00B176A9"/>
    <w:rsid w:val="00B17A69"/>
    <w:rsid w:val="00B211E5"/>
    <w:rsid w:val="00B2175A"/>
    <w:rsid w:val="00B22C7F"/>
    <w:rsid w:val="00B24261"/>
    <w:rsid w:val="00B24F41"/>
    <w:rsid w:val="00B24FCC"/>
    <w:rsid w:val="00B25A88"/>
    <w:rsid w:val="00B2681A"/>
    <w:rsid w:val="00B27E2D"/>
    <w:rsid w:val="00B303ED"/>
    <w:rsid w:val="00B31415"/>
    <w:rsid w:val="00B31462"/>
    <w:rsid w:val="00B31FC1"/>
    <w:rsid w:val="00B322F1"/>
    <w:rsid w:val="00B32994"/>
    <w:rsid w:val="00B330B2"/>
    <w:rsid w:val="00B33618"/>
    <w:rsid w:val="00B33672"/>
    <w:rsid w:val="00B33688"/>
    <w:rsid w:val="00B337D3"/>
    <w:rsid w:val="00B33891"/>
    <w:rsid w:val="00B33AB6"/>
    <w:rsid w:val="00B345BE"/>
    <w:rsid w:val="00B35493"/>
    <w:rsid w:val="00B354F1"/>
    <w:rsid w:val="00B35AB4"/>
    <w:rsid w:val="00B35DC7"/>
    <w:rsid w:val="00B35F32"/>
    <w:rsid w:val="00B362D3"/>
    <w:rsid w:val="00B37023"/>
    <w:rsid w:val="00B3776A"/>
    <w:rsid w:val="00B37E1C"/>
    <w:rsid w:val="00B41CAA"/>
    <w:rsid w:val="00B4242C"/>
    <w:rsid w:val="00B42E44"/>
    <w:rsid w:val="00B43D19"/>
    <w:rsid w:val="00B44714"/>
    <w:rsid w:val="00B45435"/>
    <w:rsid w:val="00B45724"/>
    <w:rsid w:val="00B50019"/>
    <w:rsid w:val="00B50175"/>
    <w:rsid w:val="00B51E16"/>
    <w:rsid w:val="00B52729"/>
    <w:rsid w:val="00B52C8C"/>
    <w:rsid w:val="00B52E76"/>
    <w:rsid w:val="00B52FAA"/>
    <w:rsid w:val="00B54D8C"/>
    <w:rsid w:val="00B55D89"/>
    <w:rsid w:val="00B55DEE"/>
    <w:rsid w:val="00B56306"/>
    <w:rsid w:val="00B567A8"/>
    <w:rsid w:val="00B57AF4"/>
    <w:rsid w:val="00B60293"/>
    <w:rsid w:val="00B60616"/>
    <w:rsid w:val="00B60DAA"/>
    <w:rsid w:val="00B6125F"/>
    <w:rsid w:val="00B61910"/>
    <w:rsid w:val="00B61B6F"/>
    <w:rsid w:val="00B62C76"/>
    <w:rsid w:val="00B631B0"/>
    <w:rsid w:val="00B631D6"/>
    <w:rsid w:val="00B638F3"/>
    <w:rsid w:val="00B63FBF"/>
    <w:rsid w:val="00B64355"/>
    <w:rsid w:val="00B64AFB"/>
    <w:rsid w:val="00B668A4"/>
    <w:rsid w:val="00B67117"/>
    <w:rsid w:val="00B67385"/>
    <w:rsid w:val="00B70102"/>
    <w:rsid w:val="00B70162"/>
    <w:rsid w:val="00B70C28"/>
    <w:rsid w:val="00B71C04"/>
    <w:rsid w:val="00B72987"/>
    <w:rsid w:val="00B72FF6"/>
    <w:rsid w:val="00B733A9"/>
    <w:rsid w:val="00B74F2D"/>
    <w:rsid w:val="00B7502A"/>
    <w:rsid w:val="00B75BB6"/>
    <w:rsid w:val="00B76958"/>
    <w:rsid w:val="00B77BAE"/>
    <w:rsid w:val="00B80408"/>
    <w:rsid w:val="00B81916"/>
    <w:rsid w:val="00B82636"/>
    <w:rsid w:val="00B8271E"/>
    <w:rsid w:val="00B82A2C"/>
    <w:rsid w:val="00B834A0"/>
    <w:rsid w:val="00B835F7"/>
    <w:rsid w:val="00B84AF1"/>
    <w:rsid w:val="00B84B8C"/>
    <w:rsid w:val="00B85407"/>
    <w:rsid w:val="00B87820"/>
    <w:rsid w:val="00B87CCE"/>
    <w:rsid w:val="00B90DEC"/>
    <w:rsid w:val="00B91570"/>
    <w:rsid w:val="00B91CFD"/>
    <w:rsid w:val="00B91E86"/>
    <w:rsid w:val="00B94DF4"/>
    <w:rsid w:val="00B9549F"/>
    <w:rsid w:val="00B963BB"/>
    <w:rsid w:val="00B964EA"/>
    <w:rsid w:val="00BA169A"/>
    <w:rsid w:val="00BA190A"/>
    <w:rsid w:val="00BA315A"/>
    <w:rsid w:val="00BA33C1"/>
    <w:rsid w:val="00BA3D16"/>
    <w:rsid w:val="00BA452C"/>
    <w:rsid w:val="00BA4D4F"/>
    <w:rsid w:val="00BA5433"/>
    <w:rsid w:val="00BA56EE"/>
    <w:rsid w:val="00BA57C1"/>
    <w:rsid w:val="00BA64BB"/>
    <w:rsid w:val="00BA671C"/>
    <w:rsid w:val="00BA76C7"/>
    <w:rsid w:val="00BB0F6F"/>
    <w:rsid w:val="00BB1A23"/>
    <w:rsid w:val="00BB29DD"/>
    <w:rsid w:val="00BB2A80"/>
    <w:rsid w:val="00BB2C1C"/>
    <w:rsid w:val="00BB39C7"/>
    <w:rsid w:val="00BB4324"/>
    <w:rsid w:val="00BB4345"/>
    <w:rsid w:val="00BB5A3C"/>
    <w:rsid w:val="00BB6EE7"/>
    <w:rsid w:val="00BB72EC"/>
    <w:rsid w:val="00BB74AD"/>
    <w:rsid w:val="00BB7B46"/>
    <w:rsid w:val="00BB7D4D"/>
    <w:rsid w:val="00BC131C"/>
    <w:rsid w:val="00BC154B"/>
    <w:rsid w:val="00BC1CA7"/>
    <w:rsid w:val="00BC20A0"/>
    <w:rsid w:val="00BC22ED"/>
    <w:rsid w:val="00BC446E"/>
    <w:rsid w:val="00BC4556"/>
    <w:rsid w:val="00BC471F"/>
    <w:rsid w:val="00BC4AB6"/>
    <w:rsid w:val="00BC4E5A"/>
    <w:rsid w:val="00BC5040"/>
    <w:rsid w:val="00BC51C0"/>
    <w:rsid w:val="00BC5E5B"/>
    <w:rsid w:val="00BC600D"/>
    <w:rsid w:val="00BC706D"/>
    <w:rsid w:val="00BC7F52"/>
    <w:rsid w:val="00BD01F0"/>
    <w:rsid w:val="00BD0633"/>
    <w:rsid w:val="00BD06E2"/>
    <w:rsid w:val="00BD376F"/>
    <w:rsid w:val="00BD377B"/>
    <w:rsid w:val="00BD40D7"/>
    <w:rsid w:val="00BD4F32"/>
    <w:rsid w:val="00BD5068"/>
    <w:rsid w:val="00BD55C4"/>
    <w:rsid w:val="00BD68A7"/>
    <w:rsid w:val="00BE0CC6"/>
    <w:rsid w:val="00BE10DC"/>
    <w:rsid w:val="00BE135C"/>
    <w:rsid w:val="00BE16A4"/>
    <w:rsid w:val="00BE1C68"/>
    <w:rsid w:val="00BE287B"/>
    <w:rsid w:val="00BE3447"/>
    <w:rsid w:val="00BE36C8"/>
    <w:rsid w:val="00BE38C9"/>
    <w:rsid w:val="00BE3A05"/>
    <w:rsid w:val="00BE64E3"/>
    <w:rsid w:val="00BE7234"/>
    <w:rsid w:val="00BE733B"/>
    <w:rsid w:val="00BE7768"/>
    <w:rsid w:val="00BE7B12"/>
    <w:rsid w:val="00BF02AF"/>
    <w:rsid w:val="00BF03B1"/>
    <w:rsid w:val="00BF052E"/>
    <w:rsid w:val="00BF1C4D"/>
    <w:rsid w:val="00BF3B25"/>
    <w:rsid w:val="00BF45D2"/>
    <w:rsid w:val="00BF49DD"/>
    <w:rsid w:val="00BF4C2A"/>
    <w:rsid w:val="00BF69FB"/>
    <w:rsid w:val="00BF6A0A"/>
    <w:rsid w:val="00BF7F78"/>
    <w:rsid w:val="00C004B2"/>
    <w:rsid w:val="00C00A45"/>
    <w:rsid w:val="00C00E64"/>
    <w:rsid w:val="00C01A16"/>
    <w:rsid w:val="00C02748"/>
    <w:rsid w:val="00C02DC9"/>
    <w:rsid w:val="00C03F80"/>
    <w:rsid w:val="00C03FC9"/>
    <w:rsid w:val="00C04369"/>
    <w:rsid w:val="00C0477B"/>
    <w:rsid w:val="00C06C09"/>
    <w:rsid w:val="00C0752C"/>
    <w:rsid w:val="00C07AFB"/>
    <w:rsid w:val="00C11B84"/>
    <w:rsid w:val="00C12236"/>
    <w:rsid w:val="00C127E9"/>
    <w:rsid w:val="00C12CFF"/>
    <w:rsid w:val="00C1326A"/>
    <w:rsid w:val="00C13370"/>
    <w:rsid w:val="00C14F5C"/>
    <w:rsid w:val="00C15C45"/>
    <w:rsid w:val="00C1618F"/>
    <w:rsid w:val="00C16383"/>
    <w:rsid w:val="00C1720C"/>
    <w:rsid w:val="00C17690"/>
    <w:rsid w:val="00C17720"/>
    <w:rsid w:val="00C178B1"/>
    <w:rsid w:val="00C17BA4"/>
    <w:rsid w:val="00C2171D"/>
    <w:rsid w:val="00C2181C"/>
    <w:rsid w:val="00C21D8E"/>
    <w:rsid w:val="00C224C5"/>
    <w:rsid w:val="00C22D70"/>
    <w:rsid w:val="00C23A93"/>
    <w:rsid w:val="00C2439D"/>
    <w:rsid w:val="00C24977"/>
    <w:rsid w:val="00C2576A"/>
    <w:rsid w:val="00C26A70"/>
    <w:rsid w:val="00C26D7A"/>
    <w:rsid w:val="00C27226"/>
    <w:rsid w:val="00C27A0D"/>
    <w:rsid w:val="00C30606"/>
    <w:rsid w:val="00C30E9F"/>
    <w:rsid w:val="00C31460"/>
    <w:rsid w:val="00C31579"/>
    <w:rsid w:val="00C317FF"/>
    <w:rsid w:val="00C31F85"/>
    <w:rsid w:val="00C337C8"/>
    <w:rsid w:val="00C33ADA"/>
    <w:rsid w:val="00C342A2"/>
    <w:rsid w:val="00C347B0"/>
    <w:rsid w:val="00C349F0"/>
    <w:rsid w:val="00C34DAC"/>
    <w:rsid w:val="00C36C2E"/>
    <w:rsid w:val="00C36D75"/>
    <w:rsid w:val="00C42C90"/>
    <w:rsid w:val="00C42D5A"/>
    <w:rsid w:val="00C430F9"/>
    <w:rsid w:val="00C43756"/>
    <w:rsid w:val="00C440F3"/>
    <w:rsid w:val="00C445DC"/>
    <w:rsid w:val="00C447D9"/>
    <w:rsid w:val="00C44BBC"/>
    <w:rsid w:val="00C44DEB"/>
    <w:rsid w:val="00C45127"/>
    <w:rsid w:val="00C451A3"/>
    <w:rsid w:val="00C4545E"/>
    <w:rsid w:val="00C46DAB"/>
    <w:rsid w:val="00C47379"/>
    <w:rsid w:val="00C47841"/>
    <w:rsid w:val="00C47F7D"/>
    <w:rsid w:val="00C50F47"/>
    <w:rsid w:val="00C510FD"/>
    <w:rsid w:val="00C5141D"/>
    <w:rsid w:val="00C51A1A"/>
    <w:rsid w:val="00C51D1D"/>
    <w:rsid w:val="00C51FF0"/>
    <w:rsid w:val="00C52D48"/>
    <w:rsid w:val="00C5307C"/>
    <w:rsid w:val="00C53384"/>
    <w:rsid w:val="00C53EBF"/>
    <w:rsid w:val="00C54021"/>
    <w:rsid w:val="00C55183"/>
    <w:rsid w:val="00C557DA"/>
    <w:rsid w:val="00C55B68"/>
    <w:rsid w:val="00C55DB6"/>
    <w:rsid w:val="00C5607E"/>
    <w:rsid w:val="00C560A7"/>
    <w:rsid w:val="00C563B9"/>
    <w:rsid w:val="00C56D40"/>
    <w:rsid w:val="00C606FF"/>
    <w:rsid w:val="00C609F2"/>
    <w:rsid w:val="00C60BE7"/>
    <w:rsid w:val="00C6160A"/>
    <w:rsid w:val="00C617CE"/>
    <w:rsid w:val="00C6180F"/>
    <w:rsid w:val="00C6192D"/>
    <w:rsid w:val="00C62795"/>
    <w:rsid w:val="00C640FA"/>
    <w:rsid w:val="00C64127"/>
    <w:rsid w:val="00C64ABC"/>
    <w:rsid w:val="00C64FF4"/>
    <w:rsid w:val="00C653E5"/>
    <w:rsid w:val="00C6561D"/>
    <w:rsid w:val="00C65AA8"/>
    <w:rsid w:val="00C65CA5"/>
    <w:rsid w:val="00C6659C"/>
    <w:rsid w:val="00C66CA5"/>
    <w:rsid w:val="00C67B11"/>
    <w:rsid w:val="00C67B4C"/>
    <w:rsid w:val="00C71C34"/>
    <w:rsid w:val="00C71D15"/>
    <w:rsid w:val="00C720E1"/>
    <w:rsid w:val="00C732D9"/>
    <w:rsid w:val="00C73C05"/>
    <w:rsid w:val="00C73C62"/>
    <w:rsid w:val="00C7402F"/>
    <w:rsid w:val="00C740B6"/>
    <w:rsid w:val="00C747F5"/>
    <w:rsid w:val="00C74DF8"/>
    <w:rsid w:val="00C75564"/>
    <w:rsid w:val="00C75DA4"/>
    <w:rsid w:val="00C75F10"/>
    <w:rsid w:val="00C76290"/>
    <w:rsid w:val="00C76605"/>
    <w:rsid w:val="00C77F7C"/>
    <w:rsid w:val="00C8057F"/>
    <w:rsid w:val="00C81098"/>
    <w:rsid w:val="00C82314"/>
    <w:rsid w:val="00C8244A"/>
    <w:rsid w:val="00C82550"/>
    <w:rsid w:val="00C833DE"/>
    <w:rsid w:val="00C83F7B"/>
    <w:rsid w:val="00C84754"/>
    <w:rsid w:val="00C84B91"/>
    <w:rsid w:val="00C84FE5"/>
    <w:rsid w:val="00C87E09"/>
    <w:rsid w:val="00C87F2A"/>
    <w:rsid w:val="00C90132"/>
    <w:rsid w:val="00C90BA3"/>
    <w:rsid w:val="00C90FBB"/>
    <w:rsid w:val="00C9191C"/>
    <w:rsid w:val="00C91C11"/>
    <w:rsid w:val="00C9237E"/>
    <w:rsid w:val="00C92F81"/>
    <w:rsid w:val="00C93CDC"/>
    <w:rsid w:val="00C9403C"/>
    <w:rsid w:val="00C95440"/>
    <w:rsid w:val="00C960AA"/>
    <w:rsid w:val="00C962FA"/>
    <w:rsid w:val="00C96E98"/>
    <w:rsid w:val="00C96F13"/>
    <w:rsid w:val="00C9731C"/>
    <w:rsid w:val="00C976B0"/>
    <w:rsid w:val="00CA05B2"/>
    <w:rsid w:val="00CA06B4"/>
    <w:rsid w:val="00CA0AA4"/>
    <w:rsid w:val="00CA14BE"/>
    <w:rsid w:val="00CA15AC"/>
    <w:rsid w:val="00CA2341"/>
    <w:rsid w:val="00CA3721"/>
    <w:rsid w:val="00CA3FC0"/>
    <w:rsid w:val="00CA45D7"/>
    <w:rsid w:val="00CA4966"/>
    <w:rsid w:val="00CA5674"/>
    <w:rsid w:val="00CA57A3"/>
    <w:rsid w:val="00CA6840"/>
    <w:rsid w:val="00CA73FF"/>
    <w:rsid w:val="00CA7835"/>
    <w:rsid w:val="00CA7A70"/>
    <w:rsid w:val="00CA7B27"/>
    <w:rsid w:val="00CB1A31"/>
    <w:rsid w:val="00CB1ABF"/>
    <w:rsid w:val="00CB1B18"/>
    <w:rsid w:val="00CB1B4C"/>
    <w:rsid w:val="00CB1E59"/>
    <w:rsid w:val="00CB2464"/>
    <w:rsid w:val="00CB3C3C"/>
    <w:rsid w:val="00CB3FA0"/>
    <w:rsid w:val="00CB4EB4"/>
    <w:rsid w:val="00CB5A22"/>
    <w:rsid w:val="00CB5EF9"/>
    <w:rsid w:val="00CB6B40"/>
    <w:rsid w:val="00CB6C09"/>
    <w:rsid w:val="00CB6EFA"/>
    <w:rsid w:val="00CB709A"/>
    <w:rsid w:val="00CB72EF"/>
    <w:rsid w:val="00CB7338"/>
    <w:rsid w:val="00CB7B51"/>
    <w:rsid w:val="00CC23A7"/>
    <w:rsid w:val="00CC24B2"/>
    <w:rsid w:val="00CC3394"/>
    <w:rsid w:val="00CC3A93"/>
    <w:rsid w:val="00CC3E62"/>
    <w:rsid w:val="00CC4A49"/>
    <w:rsid w:val="00CC4B64"/>
    <w:rsid w:val="00CC4CF2"/>
    <w:rsid w:val="00CC503E"/>
    <w:rsid w:val="00CC5BAD"/>
    <w:rsid w:val="00CC670A"/>
    <w:rsid w:val="00CC7233"/>
    <w:rsid w:val="00CD052F"/>
    <w:rsid w:val="00CD0D58"/>
    <w:rsid w:val="00CD11A1"/>
    <w:rsid w:val="00CD1B61"/>
    <w:rsid w:val="00CE07AA"/>
    <w:rsid w:val="00CE1455"/>
    <w:rsid w:val="00CE267F"/>
    <w:rsid w:val="00CE2C1A"/>
    <w:rsid w:val="00CE2DAE"/>
    <w:rsid w:val="00CE2FB3"/>
    <w:rsid w:val="00CE44AA"/>
    <w:rsid w:val="00CE485E"/>
    <w:rsid w:val="00CE4A78"/>
    <w:rsid w:val="00CE6F59"/>
    <w:rsid w:val="00CE71C8"/>
    <w:rsid w:val="00CE7B6E"/>
    <w:rsid w:val="00CE7CE4"/>
    <w:rsid w:val="00CF0199"/>
    <w:rsid w:val="00CF0577"/>
    <w:rsid w:val="00CF07A9"/>
    <w:rsid w:val="00CF1902"/>
    <w:rsid w:val="00CF1DDE"/>
    <w:rsid w:val="00CF2316"/>
    <w:rsid w:val="00CF24C9"/>
    <w:rsid w:val="00CF2609"/>
    <w:rsid w:val="00CF2E22"/>
    <w:rsid w:val="00CF359D"/>
    <w:rsid w:val="00CF411F"/>
    <w:rsid w:val="00CF563E"/>
    <w:rsid w:val="00CF578E"/>
    <w:rsid w:val="00CF64CF"/>
    <w:rsid w:val="00CF6D36"/>
    <w:rsid w:val="00CF761E"/>
    <w:rsid w:val="00CF7B47"/>
    <w:rsid w:val="00CF7C9C"/>
    <w:rsid w:val="00D007B2"/>
    <w:rsid w:val="00D01760"/>
    <w:rsid w:val="00D02A28"/>
    <w:rsid w:val="00D02ED9"/>
    <w:rsid w:val="00D03CA9"/>
    <w:rsid w:val="00D0603C"/>
    <w:rsid w:val="00D064BA"/>
    <w:rsid w:val="00D06A3E"/>
    <w:rsid w:val="00D078DC"/>
    <w:rsid w:val="00D13858"/>
    <w:rsid w:val="00D1412D"/>
    <w:rsid w:val="00D15AAE"/>
    <w:rsid w:val="00D15E7A"/>
    <w:rsid w:val="00D1763E"/>
    <w:rsid w:val="00D207A0"/>
    <w:rsid w:val="00D20C76"/>
    <w:rsid w:val="00D20CDD"/>
    <w:rsid w:val="00D20CFA"/>
    <w:rsid w:val="00D22E9A"/>
    <w:rsid w:val="00D23678"/>
    <w:rsid w:val="00D238D5"/>
    <w:rsid w:val="00D2403F"/>
    <w:rsid w:val="00D25EE5"/>
    <w:rsid w:val="00D268CE"/>
    <w:rsid w:val="00D26BD7"/>
    <w:rsid w:val="00D26D75"/>
    <w:rsid w:val="00D27181"/>
    <w:rsid w:val="00D2787E"/>
    <w:rsid w:val="00D301EA"/>
    <w:rsid w:val="00D302BD"/>
    <w:rsid w:val="00D310A7"/>
    <w:rsid w:val="00D31C90"/>
    <w:rsid w:val="00D323F8"/>
    <w:rsid w:val="00D32E1C"/>
    <w:rsid w:val="00D33725"/>
    <w:rsid w:val="00D33CF2"/>
    <w:rsid w:val="00D33E71"/>
    <w:rsid w:val="00D34E4D"/>
    <w:rsid w:val="00D3537B"/>
    <w:rsid w:val="00D35A8E"/>
    <w:rsid w:val="00D36322"/>
    <w:rsid w:val="00D36B95"/>
    <w:rsid w:val="00D378BE"/>
    <w:rsid w:val="00D402B0"/>
    <w:rsid w:val="00D412CC"/>
    <w:rsid w:val="00D41AB7"/>
    <w:rsid w:val="00D420EE"/>
    <w:rsid w:val="00D429E7"/>
    <w:rsid w:val="00D43AEB"/>
    <w:rsid w:val="00D43C8C"/>
    <w:rsid w:val="00D43E1D"/>
    <w:rsid w:val="00D440A8"/>
    <w:rsid w:val="00D45036"/>
    <w:rsid w:val="00D45224"/>
    <w:rsid w:val="00D452A9"/>
    <w:rsid w:val="00D45BC6"/>
    <w:rsid w:val="00D45BFD"/>
    <w:rsid w:val="00D46A9B"/>
    <w:rsid w:val="00D4710F"/>
    <w:rsid w:val="00D47BA3"/>
    <w:rsid w:val="00D5087B"/>
    <w:rsid w:val="00D51670"/>
    <w:rsid w:val="00D52C2F"/>
    <w:rsid w:val="00D53A94"/>
    <w:rsid w:val="00D5470D"/>
    <w:rsid w:val="00D547B4"/>
    <w:rsid w:val="00D55A54"/>
    <w:rsid w:val="00D55CF1"/>
    <w:rsid w:val="00D5657A"/>
    <w:rsid w:val="00D568F8"/>
    <w:rsid w:val="00D56C55"/>
    <w:rsid w:val="00D5709B"/>
    <w:rsid w:val="00D61BA9"/>
    <w:rsid w:val="00D61F01"/>
    <w:rsid w:val="00D61F1A"/>
    <w:rsid w:val="00D62BB1"/>
    <w:rsid w:val="00D62D5C"/>
    <w:rsid w:val="00D63A54"/>
    <w:rsid w:val="00D63F1F"/>
    <w:rsid w:val="00D661B0"/>
    <w:rsid w:val="00D672CC"/>
    <w:rsid w:val="00D7035D"/>
    <w:rsid w:val="00D721A4"/>
    <w:rsid w:val="00D7224F"/>
    <w:rsid w:val="00D726F1"/>
    <w:rsid w:val="00D73383"/>
    <w:rsid w:val="00D74178"/>
    <w:rsid w:val="00D7574F"/>
    <w:rsid w:val="00D76014"/>
    <w:rsid w:val="00D778F4"/>
    <w:rsid w:val="00D779C2"/>
    <w:rsid w:val="00D80A58"/>
    <w:rsid w:val="00D80DCF"/>
    <w:rsid w:val="00D8129D"/>
    <w:rsid w:val="00D81369"/>
    <w:rsid w:val="00D81871"/>
    <w:rsid w:val="00D81F6C"/>
    <w:rsid w:val="00D82283"/>
    <w:rsid w:val="00D82BC0"/>
    <w:rsid w:val="00D82C91"/>
    <w:rsid w:val="00D836D2"/>
    <w:rsid w:val="00D83AC2"/>
    <w:rsid w:val="00D86696"/>
    <w:rsid w:val="00D86E52"/>
    <w:rsid w:val="00D870EC"/>
    <w:rsid w:val="00D873FF"/>
    <w:rsid w:val="00D91DEA"/>
    <w:rsid w:val="00D92ABE"/>
    <w:rsid w:val="00D9393C"/>
    <w:rsid w:val="00D94C03"/>
    <w:rsid w:val="00D94E7A"/>
    <w:rsid w:val="00D95035"/>
    <w:rsid w:val="00D9611B"/>
    <w:rsid w:val="00D9640A"/>
    <w:rsid w:val="00D96493"/>
    <w:rsid w:val="00D97342"/>
    <w:rsid w:val="00D97944"/>
    <w:rsid w:val="00DA04CF"/>
    <w:rsid w:val="00DA1D73"/>
    <w:rsid w:val="00DA24B7"/>
    <w:rsid w:val="00DA2C10"/>
    <w:rsid w:val="00DA4F9A"/>
    <w:rsid w:val="00DA7146"/>
    <w:rsid w:val="00DA75B6"/>
    <w:rsid w:val="00DA773D"/>
    <w:rsid w:val="00DB03E8"/>
    <w:rsid w:val="00DB07AB"/>
    <w:rsid w:val="00DB0D5C"/>
    <w:rsid w:val="00DB29D9"/>
    <w:rsid w:val="00DB3063"/>
    <w:rsid w:val="00DB3B9F"/>
    <w:rsid w:val="00DB42FA"/>
    <w:rsid w:val="00DB490C"/>
    <w:rsid w:val="00DB4F00"/>
    <w:rsid w:val="00DB5019"/>
    <w:rsid w:val="00DB573B"/>
    <w:rsid w:val="00DB5AA2"/>
    <w:rsid w:val="00DB6559"/>
    <w:rsid w:val="00DB753D"/>
    <w:rsid w:val="00DB7A3A"/>
    <w:rsid w:val="00DC1553"/>
    <w:rsid w:val="00DC1B09"/>
    <w:rsid w:val="00DC1B75"/>
    <w:rsid w:val="00DC24A4"/>
    <w:rsid w:val="00DC2F3A"/>
    <w:rsid w:val="00DC2FC9"/>
    <w:rsid w:val="00DC344C"/>
    <w:rsid w:val="00DC44E9"/>
    <w:rsid w:val="00DC4A73"/>
    <w:rsid w:val="00DC4E2F"/>
    <w:rsid w:val="00DC5A10"/>
    <w:rsid w:val="00DC5B4C"/>
    <w:rsid w:val="00DC6199"/>
    <w:rsid w:val="00DC64A9"/>
    <w:rsid w:val="00DC6642"/>
    <w:rsid w:val="00DC70DE"/>
    <w:rsid w:val="00DC7CD3"/>
    <w:rsid w:val="00DD0164"/>
    <w:rsid w:val="00DD01AB"/>
    <w:rsid w:val="00DD09CF"/>
    <w:rsid w:val="00DD3E9A"/>
    <w:rsid w:val="00DD3EC0"/>
    <w:rsid w:val="00DD460C"/>
    <w:rsid w:val="00DD4A39"/>
    <w:rsid w:val="00DD4EC7"/>
    <w:rsid w:val="00DD5D46"/>
    <w:rsid w:val="00DD5E21"/>
    <w:rsid w:val="00DD5E69"/>
    <w:rsid w:val="00DD5F35"/>
    <w:rsid w:val="00DD6AAB"/>
    <w:rsid w:val="00DD6FD7"/>
    <w:rsid w:val="00DD726B"/>
    <w:rsid w:val="00DD7814"/>
    <w:rsid w:val="00DE03D6"/>
    <w:rsid w:val="00DE27FC"/>
    <w:rsid w:val="00DE2F3F"/>
    <w:rsid w:val="00DE3C87"/>
    <w:rsid w:val="00DE45B7"/>
    <w:rsid w:val="00DE48E3"/>
    <w:rsid w:val="00DE4BF1"/>
    <w:rsid w:val="00DE4C1F"/>
    <w:rsid w:val="00DE57FD"/>
    <w:rsid w:val="00DE5810"/>
    <w:rsid w:val="00DE5C83"/>
    <w:rsid w:val="00DE62B6"/>
    <w:rsid w:val="00DE65CB"/>
    <w:rsid w:val="00DE71FC"/>
    <w:rsid w:val="00DE72EF"/>
    <w:rsid w:val="00DE767B"/>
    <w:rsid w:val="00DF029D"/>
    <w:rsid w:val="00DF1E25"/>
    <w:rsid w:val="00DF26F9"/>
    <w:rsid w:val="00DF2CF7"/>
    <w:rsid w:val="00DF3C66"/>
    <w:rsid w:val="00DF3FE4"/>
    <w:rsid w:val="00DF4ADC"/>
    <w:rsid w:val="00DF6706"/>
    <w:rsid w:val="00DF6841"/>
    <w:rsid w:val="00DF7770"/>
    <w:rsid w:val="00DF7AA4"/>
    <w:rsid w:val="00DF7D1B"/>
    <w:rsid w:val="00E002B2"/>
    <w:rsid w:val="00E007CA"/>
    <w:rsid w:val="00E0110A"/>
    <w:rsid w:val="00E0121B"/>
    <w:rsid w:val="00E015C7"/>
    <w:rsid w:val="00E01C01"/>
    <w:rsid w:val="00E025C8"/>
    <w:rsid w:val="00E02C13"/>
    <w:rsid w:val="00E03C79"/>
    <w:rsid w:val="00E04CFC"/>
    <w:rsid w:val="00E06F94"/>
    <w:rsid w:val="00E07198"/>
    <w:rsid w:val="00E07700"/>
    <w:rsid w:val="00E07D39"/>
    <w:rsid w:val="00E07DAF"/>
    <w:rsid w:val="00E10188"/>
    <w:rsid w:val="00E10369"/>
    <w:rsid w:val="00E10539"/>
    <w:rsid w:val="00E1053C"/>
    <w:rsid w:val="00E110BC"/>
    <w:rsid w:val="00E117DC"/>
    <w:rsid w:val="00E126C9"/>
    <w:rsid w:val="00E15280"/>
    <w:rsid w:val="00E153C6"/>
    <w:rsid w:val="00E155D8"/>
    <w:rsid w:val="00E15874"/>
    <w:rsid w:val="00E170BF"/>
    <w:rsid w:val="00E17C4C"/>
    <w:rsid w:val="00E202DC"/>
    <w:rsid w:val="00E20AB6"/>
    <w:rsid w:val="00E22334"/>
    <w:rsid w:val="00E22711"/>
    <w:rsid w:val="00E22A8A"/>
    <w:rsid w:val="00E23A04"/>
    <w:rsid w:val="00E23DC5"/>
    <w:rsid w:val="00E25893"/>
    <w:rsid w:val="00E25DB2"/>
    <w:rsid w:val="00E26C80"/>
    <w:rsid w:val="00E2743E"/>
    <w:rsid w:val="00E27695"/>
    <w:rsid w:val="00E30CB6"/>
    <w:rsid w:val="00E31335"/>
    <w:rsid w:val="00E31620"/>
    <w:rsid w:val="00E3190A"/>
    <w:rsid w:val="00E3235D"/>
    <w:rsid w:val="00E32624"/>
    <w:rsid w:val="00E326B1"/>
    <w:rsid w:val="00E32B54"/>
    <w:rsid w:val="00E33BD3"/>
    <w:rsid w:val="00E33C50"/>
    <w:rsid w:val="00E352DB"/>
    <w:rsid w:val="00E361B0"/>
    <w:rsid w:val="00E36307"/>
    <w:rsid w:val="00E36AB7"/>
    <w:rsid w:val="00E372A0"/>
    <w:rsid w:val="00E37BF5"/>
    <w:rsid w:val="00E37E1E"/>
    <w:rsid w:val="00E40E15"/>
    <w:rsid w:val="00E40FFA"/>
    <w:rsid w:val="00E42F8A"/>
    <w:rsid w:val="00E44F06"/>
    <w:rsid w:val="00E45912"/>
    <w:rsid w:val="00E4632A"/>
    <w:rsid w:val="00E46BC1"/>
    <w:rsid w:val="00E522E9"/>
    <w:rsid w:val="00E5269E"/>
    <w:rsid w:val="00E53714"/>
    <w:rsid w:val="00E5496B"/>
    <w:rsid w:val="00E552F3"/>
    <w:rsid w:val="00E55460"/>
    <w:rsid w:val="00E5799E"/>
    <w:rsid w:val="00E57B47"/>
    <w:rsid w:val="00E57EEE"/>
    <w:rsid w:val="00E61C8B"/>
    <w:rsid w:val="00E63134"/>
    <w:rsid w:val="00E6381A"/>
    <w:rsid w:val="00E63E25"/>
    <w:rsid w:val="00E642A0"/>
    <w:rsid w:val="00E647E8"/>
    <w:rsid w:val="00E6498C"/>
    <w:rsid w:val="00E65889"/>
    <w:rsid w:val="00E65B32"/>
    <w:rsid w:val="00E66581"/>
    <w:rsid w:val="00E66610"/>
    <w:rsid w:val="00E6732E"/>
    <w:rsid w:val="00E70203"/>
    <w:rsid w:val="00E716C9"/>
    <w:rsid w:val="00E71EE2"/>
    <w:rsid w:val="00E72796"/>
    <w:rsid w:val="00E72907"/>
    <w:rsid w:val="00E72D13"/>
    <w:rsid w:val="00E73173"/>
    <w:rsid w:val="00E735D3"/>
    <w:rsid w:val="00E73B7B"/>
    <w:rsid w:val="00E73BA3"/>
    <w:rsid w:val="00E73D96"/>
    <w:rsid w:val="00E74ED9"/>
    <w:rsid w:val="00E7516D"/>
    <w:rsid w:val="00E75674"/>
    <w:rsid w:val="00E76460"/>
    <w:rsid w:val="00E76A1C"/>
    <w:rsid w:val="00E77983"/>
    <w:rsid w:val="00E77FFB"/>
    <w:rsid w:val="00E80FD7"/>
    <w:rsid w:val="00E81F21"/>
    <w:rsid w:val="00E83CEC"/>
    <w:rsid w:val="00E83D15"/>
    <w:rsid w:val="00E84D67"/>
    <w:rsid w:val="00E852FA"/>
    <w:rsid w:val="00E85598"/>
    <w:rsid w:val="00E858C7"/>
    <w:rsid w:val="00E85ADC"/>
    <w:rsid w:val="00E85BD8"/>
    <w:rsid w:val="00E869E7"/>
    <w:rsid w:val="00E86AEB"/>
    <w:rsid w:val="00E87947"/>
    <w:rsid w:val="00E87EF6"/>
    <w:rsid w:val="00E87F84"/>
    <w:rsid w:val="00E90185"/>
    <w:rsid w:val="00E90D77"/>
    <w:rsid w:val="00E90E18"/>
    <w:rsid w:val="00E91538"/>
    <w:rsid w:val="00E918A8"/>
    <w:rsid w:val="00E92361"/>
    <w:rsid w:val="00E92811"/>
    <w:rsid w:val="00E92C19"/>
    <w:rsid w:val="00E9327E"/>
    <w:rsid w:val="00E932FF"/>
    <w:rsid w:val="00E94005"/>
    <w:rsid w:val="00E94E2A"/>
    <w:rsid w:val="00E95579"/>
    <w:rsid w:val="00E95A24"/>
    <w:rsid w:val="00E967B4"/>
    <w:rsid w:val="00E97FA8"/>
    <w:rsid w:val="00EA027A"/>
    <w:rsid w:val="00EA06A7"/>
    <w:rsid w:val="00EA077A"/>
    <w:rsid w:val="00EA0948"/>
    <w:rsid w:val="00EA25C9"/>
    <w:rsid w:val="00EA334E"/>
    <w:rsid w:val="00EA34C6"/>
    <w:rsid w:val="00EA3AD3"/>
    <w:rsid w:val="00EA432D"/>
    <w:rsid w:val="00EA53A0"/>
    <w:rsid w:val="00EA737A"/>
    <w:rsid w:val="00EA7643"/>
    <w:rsid w:val="00EA769E"/>
    <w:rsid w:val="00EA7A57"/>
    <w:rsid w:val="00EA7B93"/>
    <w:rsid w:val="00EA7EAB"/>
    <w:rsid w:val="00EA7FA4"/>
    <w:rsid w:val="00EB0A53"/>
    <w:rsid w:val="00EB1384"/>
    <w:rsid w:val="00EB1870"/>
    <w:rsid w:val="00EB1D52"/>
    <w:rsid w:val="00EB31C1"/>
    <w:rsid w:val="00EB4329"/>
    <w:rsid w:val="00EB523A"/>
    <w:rsid w:val="00EB5AC3"/>
    <w:rsid w:val="00EB600C"/>
    <w:rsid w:val="00EC06B3"/>
    <w:rsid w:val="00EC109F"/>
    <w:rsid w:val="00EC126B"/>
    <w:rsid w:val="00EC29DC"/>
    <w:rsid w:val="00EC2E38"/>
    <w:rsid w:val="00EC3097"/>
    <w:rsid w:val="00EC3615"/>
    <w:rsid w:val="00EC37F6"/>
    <w:rsid w:val="00EC4854"/>
    <w:rsid w:val="00EC4985"/>
    <w:rsid w:val="00EC520F"/>
    <w:rsid w:val="00EC6B58"/>
    <w:rsid w:val="00EC762C"/>
    <w:rsid w:val="00EC7CCF"/>
    <w:rsid w:val="00ED099D"/>
    <w:rsid w:val="00ED0A2E"/>
    <w:rsid w:val="00ED1B4C"/>
    <w:rsid w:val="00ED2A5A"/>
    <w:rsid w:val="00ED322F"/>
    <w:rsid w:val="00ED352D"/>
    <w:rsid w:val="00ED531F"/>
    <w:rsid w:val="00ED5F40"/>
    <w:rsid w:val="00ED6CBB"/>
    <w:rsid w:val="00ED6D00"/>
    <w:rsid w:val="00ED756B"/>
    <w:rsid w:val="00ED7C5A"/>
    <w:rsid w:val="00EE0479"/>
    <w:rsid w:val="00EE04CB"/>
    <w:rsid w:val="00EE0C12"/>
    <w:rsid w:val="00EE10A3"/>
    <w:rsid w:val="00EE11B0"/>
    <w:rsid w:val="00EE20C6"/>
    <w:rsid w:val="00EE246C"/>
    <w:rsid w:val="00EE2E7E"/>
    <w:rsid w:val="00EE5B47"/>
    <w:rsid w:val="00EE6D51"/>
    <w:rsid w:val="00EE6F66"/>
    <w:rsid w:val="00EE7C59"/>
    <w:rsid w:val="00EF062E"/>
    <w:rsid w:val="00EF0B13"/>
    <w:rsid w:val="00EF0DAE"/>
    <w:rsid w:val="00EF153B"/>
    <w:rsid w:val="00EF1B8B"/>
    <w:rsid w:val="00EF1FB2"/>
    <w:rsid w:val="00EF21C1"/>
    <w:rsid w:val="00EF24BE"/>
    <w:rsid w:val="00EF2595"/>
    <w:rsid w:val="00EF2B5C"/>
    <w:rsid w:val="00EF2D52"/>
    <w:rsid w:val="00EF34DA"/>
    <w:rsid w:val="00EF3893"/>
    <w:rsid w:val="00EF420C"/>
    <w:rsid w:val="00EF423F"/>
    <w:rsid w:val="00EF4401"/>
    <w:rsid w:val="00EF48C5"/>
    <w:rsid w:val="00EF66D8"/>
    <w:rsid w:val="00EF6BC4"/>
    <w:rsid w:val="00EF7765"/>
    <w:rsid w:val="00EF7A8E"/>
    <w:rsid w:val="00EF7BB5"/>
    <w:rsid w:val="00F00D5D"/>
    <w:rsid w:val="00F0108D"/>
    <w:rsid w:val="00F014AC"/>
    <w:rsid w:val="00F017D5"/>
    <w:rsid w:val="00F0225B"/>
    <w:rsid w:val="00F025CB"/>
    <w:rsid w:val="00F035C5"/>
    <w:rsid w:val="00F0365F"/>
    <w:rsid w:val="00F0406F"/>
    <w:rsid w:val="00F045FF"/>
    <w:rsid w:val="00F057E8"/>
    <w:rsid w:val="00F0600A"/>
    <w:rsid w:val="00F06132"/>
    <w:rsid w:val="00F06BD5"/>
    <w:rsid w:val="00F070F2"/>
    <w:rsid w:val="00F077C4"/>
    <w:rsid w:val="00F07967"/>
    <w:rsid w:val="00F07AA6"/>
    <w:rsid w:val="00F11D13"/>
    <w:rsid w:val="00F125FD"/>
    <w:rsid w:val="00F12B74"/>
    <w:rsid w:val="00F12B7C"/>
    <w:rsid w:val="00F12BC4"/>
    <w:rsid w:val="00F12D63"/>
    <w:rsid w:val="00F139C1"/>
    <w:rsid w:val="00F151DE"/>
    <w:rsid w:val="00F15AB4"/>
    <w:rsid w:val="00F160DF"/>
    <w:rsid w:val="00F202FB"/>
    <w:rsid w:val="00F20D6C"/>
    <w:rsid w:val="00F214FC"/>
    <w:rsid w:val="00F21AE0"/>
    <w:rsid w:val="00F224E8"/>
    <w:rsid w:val="00F225EC"/>
    <w:rsid w:val="00F22DE9"/>
    <w:rsid w:val="00F248D2"/>
    <w:rsid w:val="00F24ED1"/>
    <w:rsid w:val="00F25667"/>
    <w:rsid w:val="00F258EA"/>
    <w:rsid w:val="00F25F73"/>
    <w:rsid w:val="00F26CBA"/>
    <w:rsid w:val="00F27163"/>
    <w:rsid w:val="00F30FE2"/>
    <w:rsid w:val="00F31449"/>
    <w:rsid w:val="00F3144F"/>
    <w:rsid w:val="00F3183B"/>
    <w:rsid w:val="00F319D5"/>
    <w:rsid w:val="00F31B81"/>
    <w:rsid w:val="00F31E55"/>
    <w:rsid w:val="00F31FEB"/>
    <w:rsid w:val="00F35686"/>
    <w:rsid w:val="00F361A8"/>
    <w:rsid w:val="00F36C69"/>
    <w:rsid w:val="00F400FD"/>
    <w:rsid w:val="00F413F9"/>
    <w:rsid w:val="00F42417"/>
    <w:rsid w:val="00F429DE"/>
    <w:rsid w:val="00F42D41"/>
    <w:rsid w:val="00F42DA1"/>
    <w:rsid w:val="00F42DE0"/>
    <w:rsid w:val="00F43998"/>
    <w:rsid w:val="00F43A9B"/>
    <w:rsid w:val="00F45910"/>
    <w:rsid w:val="00F46420"/>
    <w:rsid w:val="00F46CFC"/>
    <w:rsid w:val="00F477B5"/>
    <w:rsid w:val="00F47A47"/>
    <w:rsid w:val="00F47E23"/>
    <w:rsid w:val="00F51000"/>
    <w:rsid w:val="00F511C6"/>
    <w:rsid w:val="00F53405"/>
    <w:rsid w:val="00F54260"/>
    <w:rsid w:val="00F5450E"/>
    <w:rsid w:val="00F54949"/>
    <w:rsid w:val="00F55FDB"/>
    <w:rsid w:val="00F560C8"/>
    <w:rsid w:val="00F576F8"/>
    <w:rsid w:val="00F6018B"/>
    <w:rsid w:val="00F60340"/>
    <w:rsid w:val="00F61DFD"/>
    <w:rsid w:val="00F627BE"/>
    <w:rsid w:val="00F6281A"/>
    <w:rsid w:val="00F62A1B"/>
    <w:rsid w:val="00F62C58"/>
    <w:rsid w:val="00F62F3C"/>
    <w:rsid w:val="00F63461"/>
    <w:rsid w:val="00F638E2"/>
    <w:rsid w:val="00F63A59"/>
    <w:rsid w:val="00F63EB0"/>
    <w:rsid w:val="00F64710"/>
    <w:rsid w:val="00F6522D"/>
    <w:rsid w:val="00F6531C"/>
    <w:rsid w:val="00F65BAC"/>
    <w:rsid w:val="00F65C5B"/>
    <w:rsid w:val="00F66C76"/>
    <w:rsid w:val="00F7014F"/>
    <w:rsid w:val="00F719AB"/>
    <w:rsid w:val="00F720FD"/>
    <w:rsid w:val="00F7248B"/>
    <w:rsid w:val="00F73037"/>
    <w:rsid w:val="00F738BA"/>
    <w:rsid w:val="00F739A6"/>
    <w:rsid w:val="00F73C8F"/>
    <w:rsid w:val="00F746B0"/>
    <w:rsid w:val="00F74F93"/>
    <w:rsid w:val="00F750AA"/>
    <w:rsid w:val="00F75576"/>
    <w:rsid w:val="00F7610F"/>
    <w:rsid w:val="00F76430"/>
    <w:rsid w:val="00F77DC4"/>
    <w:rsid w:val="00F81330"/>
    <w:rsid w:val="00F839FE"/>
    <w:rsid w:val="00F84593"/>
    <w:rsid w:val="00F84FB4"/>
    <w:rsid w:val="00F8519F"/>
    <w:rsid w:val="00F856CA"/>
    <w:rsid w:val="00F85C06"/>
    <w:rsid w:val="00F875A6"/>
    <w:rsid w:val="00F907F1"/>
    <w:rsid w:val="00F90854"/>
    <w:rsid w:val="00F91E53"/>
    <w:rsid w:val="00F91F3C"/>
    <w:rsid w:val="00F920A5"/>
    <w:rsid w:val="00F940B6"/>
    <w:rsid w:val="00F9457F"/>
    <w:rsid w:val="00F95647"/>
    <w:rsid w:val="00F958AE"/>
    <w:rsid w:val="00F97379"/>
    <w:rsid w:val="00FA139D"/>
    <w:rsid w:val="00FA1705"/>
    <w:rsid w:val="00FA336B"/>
    <w:rsid w:val="00FA35B5"/>
    <w:rsid w:val="00FA3E54"/>
    <w:rsid w:val="00FA423A"/>
    <w:rsid w:val="00FA4652"/>
    <w:rsid w:val="00FA46D2"/>
    <w:rsid w:val="00FA7F01"/>
    <w:rsid w:val="00FA7F29"/>
    <w:rsid w:val="00FB0054"/>
    <w:rsid w:val="00FB1CE5"/>
    <w:rsid w:val="00FB1F49"/>
    <w:rsid w:val="00FB2956"/>
    <w:rsid w:val="00FB3489"/>
    <w:rsid w:val="00FB3729"/>
    <w:rsid w:val="00FB470F"/>
    <w:rsid w:val="00FB486B"/>
    <w:rsid w:val="00FB49B8"/>
    <w:rsid w:val="00FB55AE"/>
    <w:rsid w:val="00FB6264"/>
    <w:rsid w:val="00FB74B8"/>
    <w:rsid w:val="00FC0ADA"/>
    <w:rsid w:val="00FC12B2"/>
    <w:rsid w:val="00FC1F6D"/>
    <w:rsid w:val="00FC26E3"/>
    <w:rsid w:val="00FC280C"/>
    <w:rsid w:val="00FC2B55"/>
    <w:rsid w:val="00FC37D6"/>
    <w:rsid w:val="00FC390F"/>
    <w:rsid w:val="00FC43DA"/>
    <w:rsid w:val="00FC4AD5"/>
    <w:rsid w:val="00FC5CA2"/>
    <w:rsid w:val="00FC6A21"/>
    <w:rsid w:val="00FC6B3A"/>
    <w:rsid w:val="00FC6C7B"/>
    <w:rsid w:val="00FC6F87"/>
    <w:rsid w:val="00FC6F91"/>
    <w:rsid w:val="00FC728C"/>
    <w:rsid w:val="00FC739C"/>
    <w:rsid w:val="00FC76BB"/>
    <w:rsid w:val="00FD05D1"/>
    <w:rsid w:val="00FD08BE"/>
    <w:rsid w:val="00FD18B4"/>
    <w:rsid w:val="00FD1BD5"/>
    <w:rsid w:val="00FD2165"/>
    <w:rsid w:val="00FD2BD2"/>
    <w:rsid w:val="00FD3CC3"/>
    <w:rsid w:val="00FD3F00"/>
    <w:rsid w:val="00FD41E2"/>
    <w:rsid w:val="00FD4681"/>
    <w:rsid w:val="00FD4E62"/>
    <w:rsid w:val="00FD5209"/>
    <w:rsid w:val="00FD758B"/>
    <w:rsid w:val="00FD799A"/>
    <w:rsid w:val="00FE1A52"/>
    <w:rsid w:val="00FE1D71"/>
    <w:rsid w:val="00FE2582"/>
    <w:rsid w:val="00FE3E31"/>
    <w:rsid w:val="00FE3E3B"/>
    <w:rsid w:val="00FE4DF7"/>
    <w:rsid w:val="00FE6405"/>
    <w:rsid w:val="00FE6427"/>
    <w:rsid w:val="00FE6EA4"/>
    <w:rsid w:val="00FE71A9"/>
    <w:rsid w:val="00FE7631"/>
    <w:rsid w:val="00FF22AC"/>
    <w:rsid w:val="00FF2FB8"/>
    <w:rsid w:val="00FF306E"/>
    <w:rsid w:val="00FF409D"/>
    <w:rsid w:val="00FF6031"/>
    <w:rsid w:val="00FF64A0"/>
    <w:rsid w:val="00FF6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
    <w:lsdException w:name="Title" w:uiPriority="2" w:qFormat="1"/>
    <w:lsdException w:name="Body Text" w:qFormat="1"/>
    <w:lsdException w:name="Body Text Indent" w:qFormat="1"/>
    <w:lsdException w:name="Subtitle" w:uiPriority="2" w:qFormat="1"/>
    <w:lsdException w:name="Body Text First Indent"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5CB"/>
    <w:pPr>
      <w:widowControl w:val="0"/>
      <w:autoSpaceDE w:val="0"/>
      <w:autoSpaceDN w:val="0"/>
      <w:adjustRightInd w:val="0"/>
    </w:pPr>
    <w:rPr>
      <w:szCs w:val="22"/>
    </w:rPr>
  </w:style>
  <w:style w:type="paragraph" w:styleId="Heading1">
    <w:name w:val="heading 1"/>
    <w:next w:val="Normal"/>
    <w:link w:val="Heading1Char"/>
    <w:qFormat/>
    <w:rsid w:val="0060249E"/>
    <w:pPr>
      <w:keepNext/>
      <w:pageBreakBefore/>
      <w:spacing w:before="240" w:after="60"/>
      <w:outlineLvl w:val="0"/>
    </w:pPr>
    <w:rPr>
      <w:rFonts w:ascii="Utopia" w:hAnsi="Utopia" w:cs="Arial"/>
      <w:b/>
      <w:bCs/>
      <w:color w:val="000000"/>
      <w:kern w:val="32"/>
      <w:sz w:val="36"/>
      <w:szCs w:val="40"/>
    </w:rPr>
  </w:style>
  <w:style w:type="paragraph" w:styleId="Heading2">
    <w:name w:val="heading 2"/>
    <w:next w:val="Normal"/>
    <w:link w:val="Heading2Char"/>
    <w:qFormat/>
    <w:rsid w:val="0060249E"/>
    <w:pPr>
      <w:keepNext/>
      <w:spacing w:before="240" w:after="60"/>
      <w:outlineLvl w:val="1"/>
    </w:pPr>
    <w:rPr>
      <w:rFonts w:ascii="Utopia" w:hAnsi="Utopia" w:cs="Arial"/>
      <w:bCs/>
      <w:iCs/>
      <w:color w:val="000000"/>
      <w:sz w:val="36"/>
      <w:szCs w:val="28"/>
    </w:rPr>
  </w:style>
  <w:style w:type="paragraph" w:styleId="Heading3">
    <w:name w:val="heading 3"/>
    <w:aliases w:val="Sub head"/>
    <w:next w:val="Normal"/>
    <w:link w:val="Heading3Char"/>
    <w:qFormat/>
    <w:rsid w:val="0060249E"/>
    <w:pPr>
      <w:spacing w:before="120"/>
      <w:outlineLvl w:val="2"/>
    </w:pPr>
    <w:rPr>
      <w:rFonts w:ascii="Utopia" w:hAnsi="Utopia"/>
      <w:b/>
      <w:color w:val="00589B"/>
      <w:sz w:val="24"/>
      <w:szCs w:val="32"/>
    </w:rPr>
  </w:style>
  <w:style w:type="paragraph" w:styleId="Heading4">
    <w:name w:val="heading 4"/>
    <w:next w:val="Normal"/>
    <w:link w:val="Heading4Char"/>
    <w:qFormat/>
    <w:rsid w:val="0060249E"/>
    <w:pPr>
      <w:spacing w:before="120"/>
      <w:outlineLvl w:val="3"/>
    </w:pPr>
    <w:rPr>
      <w:rFonts w:ascii="Utopia" w:hAnsi="Utopia"/>
      <w:b/>
      <w:i/>
      <w:color w:val="00589B"/>
      <w:sz w:val="24"/>
      <w:szCs w:val="24"/>
    </w:rPr>
  </w:style>
  <w:style w:type="paragraph" w:styleId="Heading5">
    <w:name w:val="heading 5"/>
    <w:basedOn w:val="Normal"/>
    <w:next w:val="Normal"/>
    <w:link w:val="Heading5Char"/>
    <w:qFormat/>
    <w:rsid w:val="0060249E"/>
    <w:pPr>
      <w:widowControl/>
      <w:overflowPunct w:val="0"/>
      <w:spacing w:after="240"/>
      <w:ind w:left="2880"/>
      <w:textAlignment w:val="baseline"/>
      <w:outlineLvl w:val="4"/>
    </w:pPr>
    <w:rPr>
      <w:bCs/>
      <w:iCs/>
      <w:sz w:val="24"/>
      <w:szCs w:val="26"/>
    </w:rPr>
  </w:style>
  <w:style w:type="paragraph" w:styleId="Heading6">
    <w:name w:val="heading 6"/>
    <w:basedOn w:val="Normal"/>
    <w:next w:val="Normal"/>
    <w:link w:val="Heading6Char"/>
    <w:qFormat/>
    <w:rsid w:val="0060249E"/>
    <w:pPr>
      <w:widowControl/>
      <w:overflowPunct w:val="0"/>
      <w:spacing w:after="240"/>
      <w:ind w:left="3600"/>
      <w:textAlignment w:val="baseline"/>
      <w:outlineLvl w:val="5"/>
    </w:pPr>
    <w:rPr>
      <w:bCs/>
      <w:sz w:val="24"/>
    </w:rPr>
  </w:style>
  <w:style w:type="paragraph" w:styleId="Heading7">
    <w:name w:val="heading 7"/>
    <w:basedOn w:val="Normal"/>
    <w:next w:val="Normal"/>
    <w:link w:val="Heading7Char"/>
    <w:qFormat/>
    <w:rsid w:val="0060249E"/>
    <w:pPr>
      <w:widowControl/>
      <w:overflowPunct w:val="0"/>
      <w:spacing w:after="240"/>
      <w:ind w:left="4320"/>
      <w:textAlignment w:val="baseline"/>
      <w:outlineLvl w:val="6"/>
    </w:pPr>
    <w:rPr>
      <w:sz w:val="24"/>
      <w:szCs w:val="20"/>
    </w:rPr>
  </w:style>
  <w:style w:type="paragraph" w:styleId="Heading8">
    <w:name w:val="heading 8"/>
    <w:basedOn w:val="Normal"/>
    <w:next w:val="Normal"/>
    <w:link w:val="Heading8Char"/>
    <w:qFormat/>
    <w:rsid w:val="0060249E"/>
    <w:pPr>
      <w:widowControl/>
      <w:overflowPunct w:val="0"/>
      <w:spacing w:after="240"/>
      <w:ind w:left="5040"/>
      <w:textAlignment w:val="baseline"/>
      <w:outlineLvl w:val="7"/>
    </w:pPr>
    <w:rPr>
      <w:iCs/>
      <w:sz w:val="24"/>
      <w:szCs w:val="20"/>
    </w:rPr>
  </w:style>
  <w:style w:type="paragraph" w:styleId="Heading9">
    <w:name w:val="heading 9"/>
    <w:basedOn w:val="Normal"/>
    <w:next w:val="Normal"/>
    <w:link w:val="Heading9Char"/>
    <w:qFormat/>
    <w:rsid w:val="0060249E"/>
    <w:pPr>
      <w:widowControl/>
      <w:overflowPunct w:val="0"/>
      <w:spacing w:after="240"/>
      <w:ind w:left="5760"/>
      <w:textAlignment w:val="baseline"/>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CD052F"/>
    <w:rPr>
      <w:sz w:val="24"/>
      <w:szCs w:val="24"/>
    </w:rPr>
  </w:style>
  <w:style w:type="character" w:styleId="EndnoteReference">
    <w:name w:val="endnote reference"/>
    <w:rsid w:val="00CD052F"/>
    <w:rPr>
      <w:vertAlign w:val="superscript"/>
    </w:rPr>
  </w:style>
  <w:style w:type="paragraph" w:styleId="FootnoteText">
    <w:name w:val="footnote text"/>
    <w:basedOn w:val="Normal"/>
    <w:link w:val="FootnoteTextChar"/>
    <w:rsid w:val="00CD052F"/>
    <w:rPr>
      <w:sz w:val="24"/>
      <w:szCs w:val="24"/>
    </w:rPr>
  </w:style>
  <w:style w:type="character" w:styleId="FootnoteReference">
    <w:name w:val="footnote reference"/>
    <w:rsid w:val="00CD052F"/>
    <w:rPr>
      <w:vertAlign w:val="superscript"/>
    </w:rPr>
  </w:style>
  <w:style w:type="paragraph" w:styleId="TOC1">
    <w:name w:val="toc 1"/>
    <w:basedOn w:val="Normal"/>
    <w:next w:val="Normal"/>
    <w:rsid w:val="00CD052F"/>
    <w:pPr>
      <w:tabs>
        <w:tab w:val="right" w:leader="dot" w:pos="9360"/>
      </w:tabs>
      <w:suppressAutoHyphens/>
      <w:spacing w:before="480" w:line="240" w:lineRule="atLeast"/>
      <w:ind w:left="720" w:right="720" w:hanging="720"/>
    </w:pPr>
  </w:style>
  <w:style w:type="paragraph" w:styleId="TOC2">
    <w:name w:val="toc 2"/>
    <w:basedOn w:val="Normal"/>
    <w:next w:val="Normal"/>
    <w:rsid w:val="00CD052F"/>
    <w:pPr>
      <w:tabs>
        <w:tab w:val="right" w:leader="dot" w:pos="9360"/>
      </w:tabs>
      <w:suppressAutoHyphens/>
      <w:spacing w:line="240" w:lineRule="atLeast"/>
      <w:ind w:left="720" w:right="720"/>
    </w:pPr>
  </w:style>
  <w:style w:type="paragraph" w:styleId="TOC3">
    <w:name w:val="toc 3"/>
    <w:basedOn w:val="Normal"/>
    <w:next w:val="Normal"/>
    <w:rsid w:val="00CD052F"/>
    <w:pPr>
      <w:tabs>
        <w:tab w:val="right" w:leader="dot" w:pos="9360"/>
      </w:tabs>
      <w:suppressAutoHyphens/>
      <w:spacing w:line="240" w:lineRule="atLeast"/>
      <w:ind w:left="720" w:right="720"/>
    </w:pPr>
  </w:style>
  <w:style w:type="paragraph" w:styleId="TOC4">
    <w:name w:val="toc 4"/>
    <w:basedOn w:val="Normal"/>
    <w:next w:val="Normal"/>
    <w:rsid w:val="00CD052F"/>
    <w:pPr>
      <w:tabs>
        <w:tab w:val="right" w:leader="dot" w:pos="9360"/>
      </w:tabs>
      <w:suppressAutoHyphens/>
      <w:spacing w:line="240" w:lineRule="atLeast"/>
      <w:ind w:left="720" w:right="720"/>
    </w:pPr>
  </w:style>
  <w:style w:type="paragraph" w:styleId="TOC5">
    <w:name w:val="toc 5"/>
    <w:basedOn w:val="Normal"/>
    <w:next w:val="Normal"/>
    <w:rsid w:val="00CD052F"/>
    <w:pPr>
      <w:tabs>
        <w:tab w:val="right" w:leader="dot" w:pos="9360"/>
      </w:tabs>
      <w:suppressAutoHyphens/>
      <w:spacing w:line="240" w:lineRule="atLeast"/>
      <w:ind w:left="720" w:right="720"/>
    </w:pPr>
  </w:style>
  <w:style w:type="paragraph" w:styleId="TOC6">
    <w:name w:val="toc 6"/>
    <w:basedOn w:val="Normal"/>
    <w:next w:val="Normal"/>
    <w:rsid w:val="00CD052F"/>
    <w:pPr>
      <w:tabs>
        <w:tab w:val="right" w:pos="9360"/>
      </w:tabs>
      <w:suppressAutoHyphens/>
      <w:spacing w:line="240" w:lineRule="atLeast"/>
      <w:ind w:left="720" w:hanging="720"/>
    </w:pPr>
  </w:style>
  <w:style w:type="paragraph" w:styleId="TOC7">
    <w:name w:val="toc 7"/>
    <w:basedOn w:val="Normal"/>
    <w:next w:val="Normal"/>
    <w:rsid w:val="00CD052F"/>
    <w:pPr>
      <w:suppressAutoHyphens/>
      <w:spacing w:line="240" w:lineRule="atLeast"/>
      <w:ind w:left="720" w:hanging="720"/>
    </w:pPr>
  </w:style>
  <w:style w:type="paragraph" w:styleId="TOC8">
    <w:name w:val="toc 8"/>
    <w:basedOn w:val="Normal"/>
    <w:next w:val="Normal"/>
    <w:rsid w:val="00CD052F"/>
    <w:pPr>
      <w:tabs>
        <w:tab w:val="right" w:pos="9360"/>
      </w:tabs>
      <w:suppressAutoHyphens/>
      <w:spacing w:line="240" w:lineRule="atLeast"/>
      <w:ind w:left="720" w:hanging="720"/>
    </w:pPr>
  </w:style>
  <w:style w:type="paragraph" w:styleId="TOC9">
    <w:name w:val="toc 9"/>
    <w:basedOn w:val="Normal"/>
    <w:next w:val="Normal"/>
    <w:rsid w:val="00CD052F"/>
    <w:pPr>
      <w:tabs>
        <w:tab w:val="right" w:leader="dot" w:pos="9360"/>
      </w:tabs>
      <w:suppressAutoHyphens/>
      <w:spacing w:line="240" w:lineRule="atLeast"/>
      <w:ind w:left="720" w:hanging="720"/>
    </w:pPr>
  </w:style>
  <w:style w:type="paragraph" w:styleId="Index1">
    <w:name w:val="index 1"/>
    <w:basedOn w:val="Normal"/>
    <w:next w:val="Normal"/>
    <w:rsid w:val="00CD052F"/>
    <w:pPr>
      <w:tabs>
        <w:tab w:val="right" w:leader="dot" w:pos="9360"/>
      </w:tabs>
      <w:suppressAutoHyphens/>
      <w:spacing w:line="240" w:lineRule="atLeast"/>
      <w:ind w:left="720" w:hanging="720"/>
    </w:pPr>
  </w:style>
  <w:style w:type="paragraph" w:styleId="Index2">
    <w:name w:val="index 2"/>
    <w:basedOn w:val="Normal"/>
    <w:next w:val="Normal"/>
    <w:rsid w:val="00CD052F"/>
    <w:pPr>
      <w:tabs>
        <w:tab w:val="right" w:leader="dot" w:pos="9360"/>
      </w:tabs>
      <w:suppressAutoHyphens/>
      <w:spacing w:line="240" w:lineRule="atLeast"/>
      <w:ind w:left="720"/>
    </w:pPr>
  </w:style>
  <w:style w:type="paragraph" w:styleId="TOAHeading">
    <w:name w:val="toa heading"/>
    <w:basedOn w:val="Normal"/>
    <w:next w:val="Normal"/>
    <w:rsid w:val="00CD052F"/>
    <w:pPr>
      <w:tabs>
        <w:tab w:val="right" w:pos="9360"/>
      </w:tabs>
      <w:suppressAutoHyphens/>
      <w:spacing w:line="240" w:lineRule="atLeast"/>
    </w:pPr>
  </w:style>
  <w:style w:type="paragraph" w:styleId="Caption">
    <w:name w:val="caption"/>
    <w:basedOn w:val="Normal"/>
    <w:next w:val="Normal"/>
    <w:qFormat/>
    <w:rsid w:val="00CD052F"/>
    <w:rPr>
      <w:sz w:val="24"/>
      <w:szCs w:val="24"/>
    </w:rPr>
  </w:style>
  <w:style w:type="character" w:customStyle="1" w:styleId="EquationCaption">
    <w:name w:val="_Equation Caption"/>
    <w:rsid w:val="00CD052F"/>
  </w:style>
  <w:style w:type="paragraph" w:styleId="Header">
    <w:name w:val="header"/>
    <w:basedOn w:val="Normal"/>
    <w:link w:val="HeaderChar"/>
    <w:rsid w:val="006D4B11"/>
    <w:pPr>
      <w:tabs>
        <w:tab w:val="center" w:pos="4680"/>
        <w:tab w:val="right" w:pos="9360"/>
      </w:tabs>
    </w:pPr>
  </w:style>
  <w:style w:type="character" w:customStyle="1" w:styleId="HeaderChar">
    <w:name w:val="Header Char"/>
    <w:link w:val="Header"/>
    <w:rsid w:val="006D4B11"/>
    <w:rPr>
      <w:szCs w:val="22"/>
    </w:rPr>
  </w:style>
  <w:style w:type="paragraph" w:styleId="Footer">
    <w:name w:val="footer"/>
    <w:basedOn w:val="Normal"/>
    <w:link w:val="FooterChar"/>
    <w:uiPriority w:val="99"/>
    <w:rsid w:val="006D4B11"/>
    <w:pPr>
      <w:tabs>
        <w:tab w:val="center" w:pos="4680"/>
        <w:tab w:val="right" w:pos="9360"/>
      </w:tabs>
    </w:pPr>
  </w:style>
  <w:style w:type="character" w:customStyle="1" w:styleId="FooterChar">
    <w:name w:val="Footer Char"/>
    <w:link w:val="Footer"/>
    <w:uiPriority w:val="99"/>
    <w:rsid w:val="006D4B11"/>
    <w:rPr>
      <w:szCs w:val="22"/>
    </w:rPr>
  </w:style>
  <w:style w:type="paragraph" w:styleId="BalloonText">
    <w:name w:val="Balloon Text"/>
    <w:basedOn w:val="Normal"/>
    <w:link w:val="BalloonTextChar"/>
    <w:uiPriority w:val="99"/>
    <w:rsid w:val="00C75F10"/>
    <w:rPr>
      <w:rFonts w:ascii="Tahoma" w:hAnsi="Tahoma" w:cs="Tahoma"/>
      <w:sz w:val="16"/>
      <w:szCs w:val="16"/>
    </w:rPr>
  </w:style>
  <w:style w:type="character" w:customStyle="1" w:styleId="BalloonTextChar">
    <w:name w:val="Balloon Text Char"/>
    <w:link w:val="BalloonText"/>
    <w:uiPriority w:val="99"/>
    <w:rsid w:val="00C75F10"/>
    <w:rPr>
      <w:rFonts w:ascii="Tahoma" w:hAnsi="Tahoma" w:cs="Tahoma"/>
      <w:sz w:val="16"/>
      <w:szCs w:val="16"/>
    </w:rPr>
  </w:style>
  <w:style w:type="paragraph" w:customStyle="1" w:styleId="chart-dollar">
    <w:name w:val="chart-dollar"/>
    <w:basedOn w:val="Normal"/>
    <w:rsid w:val="003C294E"/>
    <w:pPr>
      <w:widowControl/>
      <w:tabs>
        <w:tab w:val="left" w:pos="115"/>
        <w:tab w:val="decimal" w:pos="1261"/>
      </w:tabs>
      <w:overflowPunct w:val="0"/>
      <w:textAlignment w:val="baseline"/>
    </w:pPr>
    <w:rPr>
      <w:bCs/>
      <w:sz w:val="24"/>
      <w:szCs w:val="20"/>
    </w:rPr>
  </w:style>
  <w:style w:type="paragraph" w:customStyle="1" w:styleId="Body">
    <w:name w:val="Body"/>
    <w:basedOn w:val="Normal"/>
    <w:link w:val="BodyChar"/>
    <w:rsid w:val="003C294E"/>
    <w:pPr>
      <w:widowControl/>
      <w:overflowPunct w:val="0"/>
      <w:spacing w:after="280"/>
      <w:jc w:val="both"/>
      <w:textAlignment w:val="baseline"/>
    </w:pPr>
    <w:rPr>
      <w:sz w:val="24"/>
      <w:szCs w:val="20"/>
    </w:rPr>
  </w:style>
  <w:style w:type="character" w:customStyle="1" w:styleId="BodyChar">
    <w:name w:val="Body Char"/>
    <w:link w:val="Body"/>
    <w:rsid w:val="003C294E"/>
    <w:rPr>
      <w:sz w:val="24"/>
    </w:rPr>
  </w:style>
  <w:style w:type="paragraph" w:customStyle="1" w:styleId="N-Heading">
    <w:name w:val="N-Heading"/>
    <w:basedOn w:val="Normal"/>
    <w:next w:val="Body"/>
    <w:link w:val="N-HeadingChar"/>
    <w:rsid w:val="00821032"/>
    <w:pPr>
      <w:keepNext/>
      <w:widowControl/>
      <w:overflowPunct w:val="0"/>
      <w:spacing w:after="280"/>
      <w:textAlignment w:val="baseline"/>
    </w:pPr>
    <w:rPr>
      <w:b/>
      <w:bCs/>
      <w:sz w:val="24"/>
      <w:szCs w:val="20"/>
    </w:rPr>
  </w:style>
  <w:style w:type="character" w:customStyle="1" w:styleId="N-HeadingChar">
    <w:name w:val="N-Heading Char"/>
    <w:link w:val="N-Heading"/>
    <w:rsid w:val="00821032"/>
    <w:rPr>
      <w:b/>
      <w:bCs/>
      <w:sz w:val="24"/>
    </w:rPr>
  </w:style>
  <w:style w:type="character" w:customStyle="1" w:styleId="Heading1Char">
    <w:name w:val="Heading 1 Char"/>
    <w:link w:val="Heading1"/>
    <w:rsid w:val="0060249E"/>
    <w:rPr>
      <w:rFonts w:ascii="Utopia" w:hAnsi="Utopia" w:cs="Arial"/>
      <w:b/>
      <w:bCs/>
      <w:color w:val="000000"/>
      <w:kern w:val="32"/>
      <w:sz w:val="36"/>
      <w:szCs w:val="40"/>
      <w:lang w:val="en-US" w:eastAsia="en-US" w:bidi="ar-SA"/>
    </w:rPr>
  </w:style>
  <w:style w:type="character" w:customStyle="1" w:styleId="Heading2Char">
    <w:name w:val="Heading 2 Char"/>
    <w:link w:val="Heading2"/>
    <w:rsid w:val="0060249E"/>
    <w:rPr>
      <w:rFonts w:ascii="Utopia" w:hAnsi="Utopia" w:cs="Arial"/>
      <w:bCs/>
      <w:iCs/>
      <w:color w:val="000000"/>
      <w:sz w:val="36"/>
      <w:szCs w:val="28"/>
      <w:lang w:val="en-US" w:eastAsia="en-US" w:bidi="ar-SA"/>
    </w:rPr>
  </w:style>
  <w:style w:type="character" w:customStyle="1" w:styleId="Heading3Char">
    <w:name w:val="Heading 3 Char"/>
    <w:aliases w:val="Sub head Char"/>
    <w:link w:val="Heading3"/>
    <w:rsid w:val="0060249E"/>
    <w:rPr>
      <w:rFonts w:ascii="Utopia" w:hAnsi="Utopia"/>
      <w:b/>
      <w:color w:val="00589B"/>
      <w:sz w:val="24"/>
      <w:szCs w:val="32"/>
      <w:lang w:val="en-US" w:eastAsia="en-US" w:bidi="ar-SA"/>
    </w:rPr>
  </w:style>
  <w:style w:type="character" w:customStyle="1" w:styleId="Heading4Char">
    <w:name w:val="Heading 4 Char"/>
    <w:link w:val="Heading4"/>
    <w:rsid w:val="0060249E"/>
    <w:rPr>
      <w:rFonts w:ascii="Utopia" w:hAnsi="Utopia"/>
      <w:b/>
      <w:i/>
      <w:color w:val="00589B"/>
      <w:sz w:val="24"/>
      <w:szCs w:val="24"/>
      <w:lang w:val="en-US" w:eastAsia="en-US" w:bidi="ar-SA"/>
    </w:rPr>
  </w:style>
  <w:style w:type="character" w:customStyle="1" w:styleId="Heading5Char">
    <w:name w:val="Heading 5 Char"/>
    <w:link w:val="Heading5"/>
    <w:rsid w:val="0060249E"/>
    <w:rPr>
      <w:bCs/>
      <w:iCs/>
      <w:sz w:val="24"/>
      <w:szCs w:val="26"/>
    </w:rPr>
  </w:style>
  <w:style w:type="character" w:customStyle="1" w:styleId="Heading6Char">
    <w:name w:val="Heading 6 Char"/>
    <w:link w:val="Heading6"/>
    <w:rsid w:val="0060249E"/>
    <w:rPr>
      <w:bCs/>
      <w:sz w:val="24"/>
      <w:szCs w:val="22"/>
    </w:rPr>
  </w:style>
  <w:style w:type="character" w:customStyle="1" w:styleId="Heading7Char">
    <w:name w:val="Heading 7 Char"/>
    <w:link w:val="Heading7"/>
    <w:rsid w:val="0060249E"/>
    <w:rPr>
      <w:sz w:val="24"/>
    </w:rPr>
  </w:style>
  <w:style w:type="character" w:customStyle="1" w:styleId="Heading8Char">
    <w:name w:val="Heading 8 Char"/>
    <w:link w:val="Heading8"/>
    <w:rsid w:val="0060249E"/>
    <w:rPr>
      <w:iCs/>
      <w:sz w:val="24"/>
    </w:rPr>
  </w:style>
  <w:style w:type="character" w:customStyle="1" w:styleId="Heading9Char">
    <w:name w:val="Heading 9 Char"/>
    <w:link w:val="Heading9"/>
    <w:rsid w:val="0060249E"/>
    <w:rPr>
      <w:rFonts w:cs="Arial"/>
      <w:sz w:val="24"/>
      <w:szCs w:val="22"/>
    </w:rPr>
  </w:style>
  <w:style w:type="paragraph" w:customStyle="1" w:styleId="2ndBulletedBody">
    <w:name w:val="2nd Bulleted Body"/>
    <w:basedOn w:val="Normal"/>
    <w:rsid w:val="0060249E"/>
    <w:pPr>
      <w:widowControl/>
      <w:numPr>
        <w:numId w:val="5"/>
      </w:numPr>
      <w:overflowPunct w:val="0"/>
      <w:spacing w:before="80" w:after="100" w:line="197" w:lineRule="auto"/>
      <w:textAlignment w:val="baseline"/>
    </w:pPr>
    <w:rPr>
      <w:rFonts w:ascii="EY Gothic Comp Book" w:hAnsi="EY Gothic Comp Book"/>
      <w:color w:val="333333"/>
      <w:sz w:val="22"/>
      <w:szCs w:val="20"/>
    </w:rPr>
  </w:style>
  <w:style w:type="paragraph" w:styleId="BodyText">
    <w:name w:val="Body Text"/>
    <w:basedOn w:val="Normal"/>
    <w:link w:val="BodyTextChar"/>
    <w:qFormat/>
    <w:rsid w:val="0060249E"/>
    <w:pPr>
      <w:widowControl/>
      <w:overflowPunct w:val="0"/>
      <w:spacing w:after="240"/>
      <w:jc w:val="both"/>
      <w:textAlignment w:val="baseline"/>
    </w:pPr>
    <w:rPr>
      <w:sz w:val="24"/>
      <w:szCs w:val="20"/>
    </w:rPr>
  </w:style>
  <w:style w:type="character" w:customStyle="1" w:styleId="BodyTextChar">
    <w:name w:val="Body Text Char"/>
    <w:link w:val="BodyText"/>
    <w:rsid w:val="0060249E"/>
    <w:rPr>
      <w:sz w:val="24"/>
    </w:rPr>
  </w:style>
  <w:style w:type="paragraph" w:styleId="EnvelopeReturn">
    <w:name w:val="envelope return"/>
    <w:basedOn w:val="Normal"/>
    <w:rsid w:val="0060249E"/>
    <w:pPr>
      <w:widowControl/>
      <w:overflowPunct w:val="0"/>
      <w:textAlignment w:val="baseline"/>
    </w:pPr>
    <w:rPr>
      <w:rFonts w:ascii="Bembo" w:hAnsi="Bembo" w:cs="Arial"/>
      <w:szCs w:val="20"/>
    </w:rPr>
  </w:style>
  <w:style w:type="paragraph" w:styleId="ListContinue">
    <w:name w:val="List Continue"/>
    <w:basedOn w:val="Normal"/>
    <w:rsid w:val="0060249E"/>
    <w:pPr>
      <w:widowControl/>
      <w:tabs>
        <w:tab w:val="num" w:pos="1008"/>
      </w:tabs>
      <w:overflowPunct w:val="0"/>
      <w:spacing w:after="240"/>
      <w:ind w:left="360"/>
      <w:textAlignment w:val="baseline"/>
    </w:pPr>
    <w:rPr>
      <w:sz w:val="24"/>
      <w:szCs w:val="20"/>
    </w:rPr>
  </w:style>
  <w:style w:type="paragraph" w:styleId="ListContinue2">
    <w:name w:val="List Continue 2"/>
    <w:basedOn w:val="Normal"/>
    <w:rsid w:val="0060249E"/>
    <w:pPr>
      <w:widowControl/>
      <w:tabs>
        <w:tab w:val="num" w:pos="1080"/>
      </w:tabs>
      <w:overflowPunct w:val="0"/>
      <w:spacing w:after="240"/>
      <w:ind w:left="720"/>
      <w:textAlignment w:val="baseline"/>
    </w:pPr>
    <w:rPr>
      <w:sz w:val="24"/>
      <w:szCs w:val="20"/>
    </w:rPr>
  </w:style>
  <w:style w:type="paragraph" w:styleId="ListContinue3">
    <w:name w:val="List Continue 3"/>
    <w:basedOn w:val="Normal"/>
    <w:rsid w:val="0060249E"/>
    <w:pPr>
      <w:widowControl/>
      <w:tabs>
        <w:tab w:val="num" w:pos="1440"/>
      </w:tabs>
      <w:overflowPunct w:val="0"/>
      <w:spacing w:after="240"/>
      <w:ind w:left="1440"/>
      <w:textAlignment w:val="baseline"/>
    </w:pPr>
    <w:rPr>
      <w:sz w:val="24"/>
      <w:szCs w:val="20"/>
    </w:rPr>
  </w:style>
  <w:style w:type="paragraph" w:styleId="ListContinue4">
    <w:name w:val="List Continue 4"/>
    <w:basedOn w:val="Normal"/>
    <w:rsid w:val="0060249E"/>
    <w:pPr>
      <w:widowControl/>
      <w:tabs>
        <w:tab w:val="num" w:pos="1080"/>
      </w:tabs>
      <w:overflowPunct w:val="0"/>
      <w:spacing w:after="240"/>
      <w:ind w:left="1080"/>
      <w:textAlignment w:val="baseline"/>
    </w:pPr>
    <w:rPr>
      <w:sz w:val="24"/>
      <w:szCs w:val="20"/>
    </w:rPr>
  </w:style>
  <w:style w:type="paragraph" w:styleId="ListContinue5">
    <w:name w:val="List Continue 5"/>
    <w:basedOn w:val="Normal"/>
    <w:rsid w:val="0060249E"/>
    <w:pPr>
      <w:widowControl/>
      <w:overflowPunct w:val="0"/>
      <w:spacing w:after="240"/>
      <w:ind w:left="2880" w:hanging="360"/>
      <w:textAlignment w:val="baseline"/>
    </w:pPr>
    <w:rPr>
      <w:sz w:val="24"/>
      <w:szCs w:val="20"/>
    </w:rPr>
  </w:style>
  <w:style w:type="paragraph" w:styleId="ListNumber">
    <w:name w:val="List Number"/>
    <w:basedOn w:val="Normal"/>
    <w:rsid w:val="0060249E"/>
    <w:pPr>
      <w:keepNext/>
      <w:widowControl/>
      <w:tabs>
        <w:tab w:val="num" w:pos="1440"/>
      </w:tabs>
      <w:overflowPunct w:val="0"/>
      <w:spacing w:after="240"/>
      <w:ind w:left="1440" w:hanging="360"/>
      <w:textAlignment w:val="baseline"/>
    </w:pPr>
    <w:rPr>
      <w:rFonts w:ascii="Times New Roman Bold" w:hAnsi="Times New Roman Bold"/>
      <w:b/>
      <w:sz w:val="24"/>
      <w:szCs w:val="20"/>
    </w:rPr>
  </w:style>
  <w:style w:type="paragraph" w:styleId="ListNumber5">
    <w:name w:val="List Number 5"/>
    <w:basedOn w:val="Normal"/>
    <w:rsid w:val="0060249E"/>
    <w:pPr>
      <w:widowControl/>
      <w:tabs>
        <w:tab w:val="num" w:pos="1800"/>
      </w:tabs>
      <w:overflowPunct w:val="0"/>
      <w:spacing w:after="240"/>
      <w:ind w:left="1800" w:hanging="360"/>
      <w:textAlignment w:val="baseline"/>
    </w:pPr>
    <w:rPr>
      <w:sz w:val="24"/>
      <w:szCs w:val="20"/>
    </w:rPr>
  </w:style>
  <w:style w:type="paragraph" w:styleId="Subtitle">
    <w:name w:val="Subtitle"/>
    <w:basedOn w:val="Normal"/>
    <w:link w:val="SubtitleChar"/>
    <w:uiPriority w:val="2"/>
    <w:qFormat/>
    <w:rsid w:val="0060249E"/>
    <w:pPr>
      <w:widowControl/>
      <w:tabs>
        <w:tab w:val="num" w:pos="1440"/>
      </w:tabs>
      <w:overflowPunct w:val="0"/>
      <w:spacing w:after="240"/>
      <w:jc w:val="center"/>
      <w:textAlignment w:val="baseline"/>
    </w:pPr>
    <w:rPr>
      <w:rFonts w:cs="Arial"/>
      <w:sz w:val="24"/>
      <w:szCs w:val="20"/>
    </w:rPr>
  </w:style>
  <w:style w:type="character" w:customStyle="1" w:styleId="SubtitleChar">
    <w:name w:val="Subtitle Char"/>
    <w:link w:val="Subtitle"/>
    <w:uiPriority w:val="2"/>
    <w:rsid w:val="0060249E"/>
    <w:rPr>
      <w:rFonts w:cs="Arial"/>
      <w:sz w:val="24"/>
    </w:rPr>
  </w:style>
  <w:style w:type="paragraph" w:styleId="Title">
    <w:name w:val="Title"/>
    <w:basedOn w:val="Normal"/>
    <w:link w:val="TitleChar"/>
    <w:uiPriority w:val="2"/>
    <w:qFormat/>
    <w:rsid w:val="0060249E"/>
    <w:pPr>
      <w:widowControl/>
      <w:tabs>
        <w:tab w:val="num" w:pos="720"/>
      </w:tabs>
      <w:overflowPunct w:val="0"/>
      <w:spacing w:after="240"/>
      <w:jc w:val="center"/>
      <w:textAlignment w:val="baseline"/>
    </w:pPr>
    <w:rPr>
      <w:rFonts w:cs="Arial"/>
      <w:b/>
      <w:bCs/>
      <w:sz w:val="24"/>
      <w:szCs w:val="32"/>
    </w:rPr>
  </w:style>
  <w:style w:type="character" w:customStyle="1" w:styleId="TitleChar">
    <w:name w:val="Title Char"/>
    <w:link w:val="Title"/>
    <w:uiPriority w:val="2"/>
    <w:rsid w:val="0060249E"/>
    <w:rPr>
      <w:rFonts w:cs="Arial"/>
      <w:b/>
      <w:bCs/>
      <w:sz w:val="24"/>
      <w:szCs w:val="32"/>
    </w:rPr>
  </w:style>
  <w:style w:type="paragraph" w:styleId="BlockText">
    <w:name w:val="Block Text"/>
    <w:basedOn w:val="Normal"/>
    <w:rsid w:val="0060249E"/>
    <w:pPr>
      <w:widowControl/>
      <w:tabs>
        <w:tab w:val="num" w:pos="1080"/>
      </w:tabs>
      <w:overflowPunct w:val="0"/>
      <w:spacing w:after="240"/>
      <w:ind w:left="1440" w:right="1440"/>
      <w:textAlignment w:val="baseline"/>
    </w:pPr>
    <w:rPr>
      <w:sz w:val="24"/>
      <w:szCs w:val="20"/>
    </w:rPr>
  </w:style>
  <w:style w:type="paragraph" w:customStyle="1" w:styleId="SectionHeading">
    <w:name w:val="Section Heading"/>
    <w:basedOn w:val="Normal"/>
    <w:next w:val="BodyText"/>
    <w:rsid w:val="0060249E"/>
    <w:pPr>
      <w:keepNext/>
      <w:widowControl/>
      <w:overflowPunct w:val="0"/>
      <w:spacing w:after="240"/>
      <w:textAlignment w:val="baseline"/>
    </w:pPr>
    <w:rPr>
      <w:b/>
      <w:bCs/>
      <w:i/>
      <w:iCs/>
      <w:sz w:val="24"/>
      <w:szCs w:val="20"/>
    </w:rPr>
  </w:style>
  <w:style w:type="paragraph" w:customStyle="1" w:styleId="BodyText4">
    <w:name w:val="Body Text 4"/>
    <w:basedOn w:val="Normal"/>
    <w:rsid w:val="0060249E"/>
    <w:pPr>
      <w:widowControl/>
      <w:overflowPunct w:val="0"/>
      <w:spacing w:after="240"/>
      <w:textAlignment w:val="baseline"/>
    </w:pPr>
    <w:rPr>
      <w:sz w:val="24"/>
      <w:szCs w:val="20"/>
    </w:rPr>
  </w:style>
  <w:style w:type="paragraph" w:customStyle="1" w:styleId="SectionHeading3">
    <w:name w:val="Section Heading 3"/>
    <w:basedOn w:val="Normal"/>
    <w:rsid w:val="0060249E"/>
    <w:pPr>
      <w:keepNext/>
      <w:widowControl/>
      <w:overflowPunct w:val="0"/>
      <w:spacing w:after="240"/>
      <w:jc w:val="both"/>
      <w:textAlignment w:val="baseline"/>
    </w:pPr>
    <w:rPr>
      <w:i/>
      <w:sz w:val="24"/>
      <w:szCs w:val="20"/>
    </w:rPr>
  </w:style>
  <w:style w:type="paragraph" w:customStyle="1" w:styleId="SectionHeading4">
    <w:name w:val="Section Heading 4"/>
    <w:basedOn w:val="Normal"/>
    <w:rsid w:val="0060249E"/>
    <w:pPr>
      <w:keepNext/>
      <w:widowControl/>
      <w:overflowPunct w:val="0"/>
      <w:spacing w:after="240"/>
      <w:textAlignment w:val="baseline"/>
    </w:pPr>
    <w:rPr>
      <w:sz w:val="24"/>
      <w:szCs w:val="20"/>
    </w:rPr>
  </w:style>
  <w:style w:type="paragraph" w:customStyle="1" w:styleId="Paragraph">
    <w:name w:val="Paragraph"/>
    <w:basedOn w:val="Normal"/>
    <w:rsid w:val="0060249E"/>
    <w:pPr>
      <w:widowControl/>
      <w:overflowPunct w:val="0"/>
      <w:spacing w:before="40" w:after="120"/>
      <w:jc w:val="both"/>
      <w:textAlignment w:val="baseline"/>
    </w:pPr>
    <w:rPr>
      <w:color w:val="000000"/>
      <w:sz w:val="24"/>
      <w:szCs w:val="24"/>
    </w:rPr>
  </w:style>
  <w:style w:type="paragraph" w:customStyle="1" w:styleId="Heading21">
    <w:name w:val="Heading21"/>
    <w:basedOn w:val="Normal"/>
    <w:rsid w:val="0060249E"/>
    <w:pPr>
      <w:keepNext/>
      <w:widowControl/>
      <w:overflowPunct w:val="0"/>
      <w:spacing w:before="20" w:after="80"/>
      <w:textAlignment w:val="baseline"/>
    </w:pPr>
    <w:rPr>
      <w:b/>
      <w:color w:val="000000"/>
      <w:sz w:val="21"/>
      <w:szCs w:val="20"/>
    </w:rPr>
  </w:style>
  <w:style w:type="paragraph" w:customStyle="1" w:styleId="Footnote">
    <w:name w:val="Footnote"/>
    <w:basedOn w:val="Normal"/>
    <w:rsid w:val="0060249E"/>
    <w:pPr>
      <w:widowControl/>
      <w:overflowPunct w:val="0"/>
      <w:spacing w:before="40" w:after="120"/>
      <w:textAlignment w:val="baseline"/>
    </w:pPr>
    <w:rPr>
      <w:color w:val="000000"/>
      <w:sz w:val="21"/>
      <w:szCs w:val="20"/>
    </w:rPr>
  </w:style>
  <w:style w:type="paragraph" w:customStyle="1" w:styleId="spacer">
    <w:name w:val="spacer"/>
    <w:basedOn w:val="Normal"/>
    <w:rsid w:val="0060249E"/>
    <w:pPr>
      <w:widowControl/>
      <w:overflowPunct w:val="0"/>
      <w:spacing w:before="200"/>
      <w:textAlignment w:val="baseline"/>
    </w:pPr>
    <w:rPr>
      <w:sz w:val="24"/>
      <w:szCs w:val="20"/>
    </w:rPr>
  </w:style>
  <w:style w:type="paragraph" w:customStyle="1" w:styleId="Heading31">
    <w:name w:val="Heading31"/>
    <w:basedOn w:val="Normal"/>
    <w:rsid w:val="0060249E"/>
    <w:pPr>
      <w:keepNext/>
      <w:widowControl/>
      <w:overflowPunct w:val="0"/>
      <w:spacing w:before="20" w:after="80"/>
      <w:ind w:firstLine="240"/>
      <w:textAlignment w:val="baseline"/>
    </w:pPr>
    <w:rPr>
      <w:i/>
      <w:color w:val="000000"/>
      <w:sz w:val="21"/>
      <w:szCs w:val="20"/>
    </w:rPr>
  </w:style>
  <w:style w:type="table" w:customStyle="1" w:styleId="9n10Table">
    <w:name w:val="9n10 Table"/>
    <w:basedOn w:val="TableNormal"/>
    <w:rsid w:val="0060249E"/>
    <w:pPr>
      <w:wordWrap w:val="0"/>
      <w:jc w:val="right"/>
    </w:pPr>
    <w:rPr>
      <w:sz w:val="18"/>
    </w:rPr>
    <w:tblPr>
      <w:jc w:val="center"/>
      <w:tblInd w:w="0" w:type="dxa"/>
      <w:tblCellMar>
        <w:top w:w="0" w:type="dxa"/>
        <w:left w:w="108" w:type="dxa"/>
        <w:bottom w:w="0" w:type="dxa"/>
        <w:right w:w="108" w:type="dxa"/>
      </w:tblCellMar>
    </w:tblPr>
    <w:trPr>
      <w:jc w:val="center"/>
    </w:trPr>
    <w:tblStylePr w:type="firstRow">
      <w:pPr>
        <w:jc w:val="center"/>
      </w:pPr>
      <w:rPr>
        <w:rFonts w:cs="Times New Roman"/>
        <w:sz w:val="16"/>
      </w:rPr>
    </w:tblStylePr>
    <w:tblStylePr w:type="firstCol">
      <w:pPr>
        <w:jc w:val="left"/>
      </w:pPr>
      <w:rPr>
        <w:rFonts w:cs="Times New Roman"/>
      </w:rPr>
    </w:tblStylePr>
  </w:style>
  <w:style w:type="paragraph" w:customStyle="1" w:styleId="Normal9pt">
    <w:name w:val="Normal + 9 pt"/>
    <w:aliases w:val="Bold"/>
    <w:basedOn w:val="Normal"/>
    <w:rsid w:val="0060249E"/>
    <w:pPr>
      <w:widowControl/>
      <w:overflowPunct w:val="0"/>
      <w:textAlignment w:val="baseline"/>
    </w:pPr>
    <w:rPr>
      <w:b/>
      <w:bCs/>
      <w:szCs w:val="20"/>
    </w:rPr>
  </w:style>
  <w:style w:type="table" w:styleId="TableGrid">
    <w:name w:val="Table Grid"/>
    <w:basedOn w:val="TableNormal"/>
    <w:rsid w:val="00602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
    <w:rsid w:val="0060249E"/>
  </w:style>
  <w:style w:type="paragraph" w:customStyle="1" w:styleId="SectionHeading2">
    <w:name w:val="Section Heading 2"/>
    <w:basedOn w:val="Normal"/>
    <w:rsid w:val="0060249E"/>
    <w:pPr>
      <w:keepNext/>
      <w:widowControl/>
      <w:overflowPunct w:val="0"/>
      <w:spacing w:after="240"/>
      <w:textAlignment w:val="baseline"/>
    </w:pPr>
    <w:rPr>
      <w:b/>
      <w:bCs/>
      <w:sz w:val="24"/>
      <w:szCs w:val="20"/>
    </w:rPr>
  </w:style>
  <w:style w:type="paragraph" w:customStyle="1" w:styleId="Chart">
    <w:name w:val="Chart"/>
    <w:basedOn w:val="Normal"/>
    <w:link w:val="ChartChar"/>
    <w:rsid w:val="0060249E"/>
    <w:pPr>
      <w:widowControl/>
      <w:overflowPunct w:val="0"/>
      <w:textAlignment w:val="baseline"/>
    </w:pPr>
    <w:rPr>
      <w:sz w:val="24"/>
      <w:szCs w:val="20"/>
    </w:rPr>
  </w:style>
  <w:style w:type="character" w:customStyle="1" w:styleId="ChartChar">
    <w:name w:val="Chart Char"/>
    <w:link w:val="Chart"/>
    <w:rsid w:val="0060249E"/>
    <w:rPr>
      <w:sz w:val="24"/>
    </w:rPr>
  </w:style>
  <w:style w:type="paragraph" w:customStyle="1" w:styleId="body-normal">
    <w:name w:val="body-normal"/>
    <w:basedOn w:val="Chart"/>
    <w:link w:val="body-normalChar"/>
    <w:rsid w:val="0060249E"/>
  </w:style>
  <w:style w:type="character" w:customStyle="1" w:styleId="body-normalChar">
    <w:name w:val="body-normal Char"/>
    <w:link w:val="body-normal"/>
    <w:rsid w:val="0060249E"/>
    <w:rPr>
      <w:sz w:val="24"/>
    </w:rPr>
  </w:style>
  <w:style w:type="paragraph" w:customStyle="1" w:styleId="body-bullet">
    <w:name w:val="body-bullet"/>
    <w:basedOn w:val="body-normal"/>
    <w:rsid w:val="0060249E"/>
    <w:pPr>
      <w:spacing w:after="280"/>
      <w:ind w:left="720" w:hanging="360"/>
      <w:jc w:val="both"/>
    </w:pPr>
  </w:style>
  <w:style w:type="paragraph" w:customStyle="1" w:styleId="body-indent">
    <w:name w:val="body-indent"/>
    <w:basedOn w:val="Normal"/>
    <w:rsid w:val="0060249E"/>
    <w:pPr>
      <w:widowControl/>
      <w:overflowPunct w:val="0"/>
      <w:spacing w:after="280"/>
      <w:ind w:left="360"/>
      <w:jc w:val="both"/>
      <w:textAlignment w:val="baseline"/>
    </w:pPr>
    <w:rPr>
      <w:sz w:val="24"/>
      <w:szCs w:val="20"/>
    </w:rPr>
  </w:style>
  <w:style w:type="paragraph" w:customStyle="1" w:styleId="contents">
    <w:name w:val="contents"/>
    <w:basedOn w:val="Normal"/>
    <w:rsid w:val="0060249E"/>
    <w:pPr>
      <w:widowControl/>
      <w:tabs>
        <w:tab w:val="right" w:leader="dot" w:pos="9360"/>
      </w:tabs>
      <w:overflowPunct w:val="0"/>
      <w:ind w:left="180" w:hanging="180"/>
      <w:textAlignment w:val="baseline"/>
    </w:pPr>
    <w:rPr>
      <w:sz w:val="24"/>
      <w:szCs w:val="20"/>
    </w:rPr>
  </w:style>
  <w:style w:type="paragraph" w:customStyle="1" w:styleId="cover-name">
    <w:name w:val="cover-name"/>
    <w:basedOn w:val="Normal"/>
    <w:rsid w:val="0060249E"/>
    <w:pPr>
      <w:widowControl/>
      <w:overflowPunct w:val="0"/>
      <w:textAlignment w:val="baseline"/>
    </w:pPr>
    <w:rPr>
      <w:sz w:val="24"/>
      <w:szCs w:val="20"/>
    </w:rPr>
  </w:style>
  <w:style w:type="paragraph" w:customStyle="1" w:styleId="cover-title">
    <w:name w:val="cover-title"/>
    <w:basedOn w:val="Normal"/>
    <w:rsid w:val="0060249E"/>
    <w:pPr>
      <w:widowControl/>
      <w:overflowPunct w:val="0"/>
      <w:spacing w:after="280"/>
      <w:textAlignment w:val="baseline"/>
    </w:pPr>
    <w:rPr>
      <w:smallCaps/>
      <w:spacing w:val="50"/>
      <w:sz w:val="24"/>
      <w:szCs w:val="20"/>
    </w:rPr>
  </w:style>
  <w:style w:type="paragraph" w:customStyle="1" w:styleId="divider">
    <w:name w:val="divider"/>
    <w:basedOn w:val="Chart"/>
    <w:rsid w:val="0060249E"/>
    <w:pPr>
      <w:jc w:val="center"/>
    </w:pPr>
    <w:rPr>
      <w:sz w:val="48"/>
    </w:rPr>
  </w:style>
  <w:style w:type="paragraph" w:customStyle="1" w:styleId="head-12">
    <w:name w:val="head-12"/>
    <w:basedOn w:val="Heading1"/>
    <w:rsid w:val="0060249E"/>
    <w:pPr>
      <w:pageBreakBefore w:val="0"/>
      <w:overflowPunct w:val="0"/>
      <w:autoSpaceDE w:val="0"/>
      <w:autoSpaceDN w:val="0"/>
      <w:adjustRightInd w:val="0"/>
      <w:spacing w:before="0" w:after="0"/>
      <w:jc w:val="center"/>
      <w:textAlignment w:val="baseline"/>
    </w:pPr>
    <w:rPr>
      <w:rFonts w:ascii="Times New Roman" w:hAnsi="Times New Roman" w:cs="Times New Roman"/>
      <w:b w:val="0"/>
      <w:bCs w:val="0"/>
      <w:color w:val="auto"/>
      <w:kern w:val="0"/>
      <w:sz w:val="24"/>
      <w:szCs w:val="20"/>
    </w:rPr>
  </w:style>
  <w:style w:type="paragraph" w:customStyle="1" w:styleId="head-14">
    <w:name w:val="head-14"/>
    <w:basedOn w:val="Normal"/>
    <w:rsid w:val="0060249E"/>
    <w:pPr>
      <w:widowControl/>
      <w:overflowPunct w:val="0"/>
      <w:jc w:val="center"/>
      <w:textAlignment w:val="baseline"/>
    </w:pPr>
    <w:rPr>
      <w:sz w:val="28"/>
      <w:szCs w:val="20"/>
    </w:rPr>
  </w:style>
  <w:style w:type="paragraph" w:customStyle="1" w:styleId="indent0">
    <w:name w:val="indent0"/>
    <w:basedOn w:val="Chart"/>
    <w:link w:val="indent0Char"/>
    <w:rsid w:val="0060249E"/>
    <w:pPr>
      <w:ind w:left="187" w:hanging="187"/>
    </w:pPr>
  </w:style>
  <w:style w:type="character" w:customStyle="1" w:styleId="indent0Char">
    <w:name w:val="indent0 Char"/>
    <w:link w:val="indent0"/>
    <w:rsid w:val="0060249E"/>
    <w:rPr>
      <w:sz w:val="24"/>
    </w:rPr>
  </w:style>
  <w:style w:type="paragraph" w:customStyle="1" w:styleId="indent1">
    <w:name w:val="indent1"/>
    <w:basedOn w:val="Normal"/>
    <w:rsid w:val="0060249E"/>
    <w:pPr>
      <w:widowControl/>
      <w:overflowPunct w:val="0"/>
      <w:ind w:left="374" w:hanging="187"/>
      <w:textAlignment w:val="baseline"/>
    </w:pPr>
    <w:rPr>
      <w:sz w:val="24"/>
      <w:szCs w:val="20"/>
    </w:rPr>
  </w:style>
  <w:style w:type="paragraph" w:customStyle="1" w:styleId="indent2">
    <w:name w:val="indent2"/>
    <w:basedOn w:val="Normal"/>
    <w:rsid w:val="0060249E"/>
    <w:pPr>
      <w:widowControl/>
      <w:overflowPunct w:val="0"/>
      <w:ind w:left="547" w:hanging="187"/>
      <w:textAlignment w:val="baseline"/>
    </w:pPr>
    <w:rPr>
      <w:sz w:val="24"/>
      <w:szCs w:val="20"/>
    </w:rPr>
  </w:style>
  <w:style w:type="paragraph" w:customStyle="1" w:styleId="indent3">
    <w:name w:val="indent3"/>
    <w:basedOn w:val="Normal"/>
    <w:rsid w:val="0060249E"/>
    <w:pPr>
      <w:widowControl/>
      <w:overflowPunct w:val="0"/>
      <w:ind w:left="734" w:hanging="187"/>
      <w:textAlignment w:val="baseline"/>
    </w:pPr>
    <w:rPr>
      <w:sz w:val="24"/>
      <w:szCs w:val="20"/>
    </w:rPr>
  </w:style>
  <w:style w:type="paragraph" w:customStyle="1" w:styleId="indent4">
    <w:name w:val="indent4"/>
    <w:basedOn w:val="Normal"/>
    <w:rsid w:val="0060249E"/>
    <w:pPr>
      <w:widowControl/>
      <w:overflowPunct w:val="0"/>
      <w:ind w:left="907" w:hanging="187"/>
      <w:textAlignment w:val="baseline"/>
    </w:pPr>
    <w:rPr>
      <w:sz w:val="24"/>
      <w:szCs w:val="20"/>
    </w:rPr>
  </w:style>
  <w:style w:type="paragraph" w:customStyle="1" w:styleId="Cover-title0">
    <w:name w:val="Cover-title"/>
    <w:basedOn w:val="Normal"/>
    <w:rsid w:val="0060249E"/>
    <w:pPr>
      <w:widowControl/>
      <w:overflowPunct w:val="0"/>
      <w:spacing w:after="280"/>
      <w:textAlignment w:val="baseline"/>
    </w:pPr>
    <w:rPr>
      <w:smallCaps/>
      <w:spacing w:val="50"/>
      <w:sz w:val="24"/>
      <w:szCs w:val="20"/>
    </w:rPr>
  </w:style>
  <w:style w:type="paragraph" w:styleId="NormalWeb">
    <w:name w:val="Normal (Web)"/>
    <w:basedOn w:val="Normal"/>
    <w:uiPriority w:val="99"/>
    <w:rsid w:val="0060249E"/>
    <w:pPr>
      <w:widowControl/>
      <w:autoSpaceDE/>
      <w:autoSpaceDN/>
      <w:adjustRightInd/>
      <w:spacing w:before="100" w:beforeAutospacing="1" w:after="100" w:afterAutospacing="1"/>
    </w:pPr>
    <w:rPr>
      <w:sz w:val="24"/>
      <w:szCs w:val="24"/>
    </w:rPr>
  </w:style>
  <w:style w:type="paragraph" w:customStyle="1" w:styleId="n-heading0">
    <w:name w:val="n-heading0"/>
    <w:basedOn w:val="Normal"/>
    <w:rsid w:val="0060249E"/>
    <w:pPr>
      <w:keepNext/>
      <w:widowControl/>
      <w:overflowPunct w:val="0"/>
      <w:adjustRightInd/>
      <w:spacing w:after="280"/>
    </w:pPr>
    <w:rPr>
      <w:b/>
      <w:bCs/>
      <w:sz w:val="24"/>
      <w:szCs w:val="24"/>
    </w:rPr>
  </w:style>
  <w:style w:type="character" w:customStyle="1" w:styleId="StyleUnderline">
    <w:name w:val="Style Underline"/>
    <w:rsid w:val="0060249E"/>
    <w:rPr>
      <w:u w:val="single"/>
      <w:bdr w:val="none" w:sz="0" w:space="0" w:color="auto"/>
    </w:rPr>
  </w:style>
  <w:style w:type="paragraph" w:customStyle="1" w:styleId="tblNormal">
    <w:name w:val="tblNormal"/>
    <w:next w:val="Body"/>
    <w:rsid w:val="0060249E"/>
    <w:pPr>
      <w:jc w:val="both"/>
    </w:pPr>
    <w:rPr>
      <w:sz w:val="24"/>
    </w:rPr>
  </w:style>
  <w:style w:type="paragraph" w:customStyle="1" w:styleId="tblNormal-Heading">
    <w:name w:val="tblNormal-Heading"/>
    <w:rsid w:val="0060249E"/>
    <w:pPr>
      <w:jc w:val="center"/>
    </w:pPr>
    <w:rPr>
      <w:b/>
      <w:bCs/>
      <w:sz w:val="24"/>
    </w:rPr>
  </w:style>
  <w:style w:type="paragraph" w:customStyle="1" w:styleId="Seeaccompanyingnotes">
    <w:name w:val="See accompanying notes"/>
    <w:rsid w:val="0060249E"/>
    <w:pPr>
      <w:spacing w:before="280"/>
    </w:pPr>
    <w:rPr>
      <w:i/>
      <w:sz w:val="24"/>
    </w:rPr>
  </w:style>
  <w:style w:type="paragraph" w:customStyle="1" w:styleId="TrackLeft">
    <w:name w:val="TrackLeft"/>
    <w:autoRedefine/>
    <w:rsid w:val="0060249E"/>
    <w:pPr>
      <w:outlineLvl w:val="1"/>
    </w:pPr>
    <w:rPr>
      <w:bCs/>
      <w:sz w:val="16"/>
      <w:szCs w:val="16"/>
    </w:rPr>
  </w:style>
  <w:style w:type="paragraph" w:customStyle="1" w:styleId="Heading2-Withdates">
    <w:name w:val="Heading 2 - With date(s)"/>
    <w:next w:val="Heading3"/>
    <w:rsid w:val="0060249E"/>
    <w:pPr>
      <w:spacing w:after="320"/>
      <w:jc w:val="center"/>
      <w:outlineLvl w:val="1"/>
    </w:pPr>
    <w:rPr>
      <w:bCs/>
      <w:sz w:val="28"/>
    </w:rPr>
  </w:style>
  <w:style w:type="paragraph" w:customStyle="1" w:styleId="FSFooter">
    <w:name w:val="FS Footer"/>
    <w:rsid w:val="0060249E"/>
    <w:pPr>
      <w:tabs>
        <w:tab w:val="right" w:pos="9360"/>
      </w:tabs>
    </w:pPr>
    <w:rPr>
      <w:vanish/>
      <w:sz w:val="2"/>
      <w:szCs w:val="14"/>
    </w:rPr>
  </w:style>
  <w:style w:type="paragraph" w:customStyle="1" w:styleId="PT">
    <w:name w:val="P&amp;T"/>
    <w:rsid w:val="0060249E"/>
    <w:pPr>
      <w:jc w:val="center"/>
    </w:pPr>
    <w:rPr>
      <w:rFonts w:ascii="Arial Bold" w:hAnsi="Arial Bold"/>
      <w:b/>
      <w:caps/>
      <w:szCs w:val="24"/>
    </w:rPr>
  </w:style>
  <w:style w:type="paragraph" w:styleId="Quote">
    <w:name w:val="Quote"/>
    <w:basedOn w:val="Normal"/>
    <w:next w:val="BodyText"/>
    <w:link w:val="QuoteChar"/>
    <w:qFormat/>
    <w:rsid w:val="0060249E"/>
    <w:pPr>
      <w:spacing w:after="240"/>
      <w:ind w:left="1440" w:right="1440"/>
    </w:pPr>
    <w:rPr>
      <w:iCs/>
    </w:rPr>
  </w:style>
  <w:style w:type="character" w:customStyle="1" w:styleId="QuoteChar">
    <w:name w:val="Quote Char"/>
    <w:link w:val="Quote"/>
    <w:rsid w:val="0060249E"/>
    <w:rPr>
      <w:iCs/>
      <w:szCs w:val="22"/>
    </w:rPr>
  </w:style>
  <w:style w:type="paragraph" w:styleId="BodyTextFirstIndent">
    <w:name w:val="Body Text First Indent"/>
    <w:basedOn w:val="Normal"/>
    <w:link w:val="BodyTextFirstIndentChar"/>
    <w:qFormat/>
    <w:rsid w:val="0060249E"/>
    <w:pPr>
      <w:spacing w:after="240"/>
      <w:ind w:firstLine="1440"/>
    </w:pPr>
  </w:style>
  <w:style w:type="character" w:customStyle="1" w:styleId="BodyTextFirstIndentChar">
    <w:name w:val="Body Text First Indent Char"/>
    <w:link w:val="BodyTextFirstIndent"/>
    <w:rsid w:val="0060249E"/>
    <w:rPr>
      <w:sz w:val="24"/>
      <w:szCs w:val="22"/>
    </w:rPr>
  </w:style>
  <w:style w:type="paragraph" w:styleId="BodyTextIndent">
    <w:name w:val="Body Text Indent"/>
    <w:basedOn w:val="Normal"/>
    <w:link w:val="BodyTextIndentChar"/>
    <w:qFormat/>
    <w:rsid w:val="0060249E"/>
    <w:pPr>
      <w:spacing w:after="240"/>
      <w:ind w:left="1440"/>
    </w:pPr>
  </w:style>
  <w:style w:type="character" w:customStyle="1" w:styleId="BodyTextIndentChar">
    <w:name w:val="Body Text Indent Char"/>
    <w:link w:val="BodyTextIndent"/>
    <w:rsid w:val="0060249E"/>
    <w:rPr>
      <w:szCs w:val="22"/>
    </w:rPr>
  </w:style>
  <w:style w:type="character" w:customStyle="1" w:styleId="EndnoteTextChar">
    <w:name w:val="Endnote Text Char"/>
    <w:link w:val="EndnoteText"/>
    <w:rsid w:val="0060249E"/>
    <w:rPr>
      <w:sz w:val="24"/>
      <w:szCs w:val="24"/>
    </w:rPr>
  </w:style>
  <w:style w:type="character" w:customStyle="1" w:styleId="EndnoteTextChar1">
    <w:name w:val="Endnote Text Char1"/>
    <w:rsid w:val="0060249E"/>
    <w:rPr>
      <w:rFonts w:eastAsia="Times New Roman"/>
    </w:rPr>
  </w:style>
  <w:style w:type="character" w:customStyle="1" w:styleId="FootnoteTextChar">
    <w:name w:val="Footnote Text Char"/>
    <w:link w:val="FootnoteText"/>
    <w:rsid w:val="0060249E"/>
    <w:rPr>
      <w:sz w:val="24"/>
      <w:szCs w:val="24"/>
    </w:rPr>
  </w:style>
  <w:style w:type="character" w:customStyle="1" w:styleId="FootnoteTextChar1">
    <w:name w:val="Footnote Text Char1"/>
    <w:rsid w:val="0060249E"/>
    <w:rPr>
      <w:rFonts w:eastAsia="Times New Roman"/>
    </w:rPr>
  </w:style>
  <w:style w:type="paragraph" w:customStyle="1" w:styleId="CG-Title-Left-Bold">
    <w:name w:val="CG-Title-Left-Bold"/>
    <w:aliases w:val="t3"/>
    <w:basedOn w:val="Normal"/>
    <w:next w:val="Normal"/>
    <w:rsid w:val="0060249E"/>
    <w:pPr>
      <w:keepNext/>
      <w:widowControl/>
      <w:autoSpaceDE/>
      <w:autoSpaceDN/>
      <w:adjustRightInd/>
      <w:spacing w:after="240"/>
    </w:pPr>
    <w:rPr>
      <w:rFonts w:eastAsia="MS Mincho"/>
      <w:b/>
      <w:bCs/>
      <w:szCs w:val="24"/>
    </w:rPr>
  </w:style>
  <w:style w:type="paragraph" w:customStyle="1" w:styleId="CG-SingleSp">
    <w:name w:val="CG-Single Sp"/>
    <w:aliases w:val="s1"/>
    <w:basedOn w:val="Normal"/>
    <w:rsid w:val="0060249E"/>
    <w:pPr>
      <w:widowControl/>
      <w:autoSpaceDE/>
      <w:autoSpaceDN/>
      <w:adjustRightInd/>
      <w:spacing w:after="240"/>
    </w:pPr>
    <w:rPr>
      <w:rFonts w:eastAsia="MS Mincho"/>
      <w:szCs w:val="24"/>
    </w:rPr>
  </w:style>
  <w:style w:type="paragraph" w:customStyle="1" w:styleId="CG-SingleSp05">
    <w:name w:val="CG-Single Sp 0.5"/>
    <w:aliases w:val="s2"/>
    <w:basedOn w:val="Normal"/>
    <w:rsid w:val="0060249E"/>
    <w:pPr>
      <w:widowControl/>
      <w:autoSpaceDE/>
      <w:autoSpaceDN/>
      <w:adjustRightInd/>
      <w:spacing w:after="240"/>
      <w:ind w:firstLine="720"/>
    </w:pPr>
    <w:rPr>
      <w:rFonts w:eastAsia="MS Mincho"/>
      <w:szCs w:val="24"/>
    </w:rPr>
  </w:style>
  <w:style w:type="paragraph" w:styleId="ListParagraph">
    <w:name w:val="List Paragraph"/>
    <w:basedOn w:val="Normal"/>
    <w:uiPriority w:val="34"/>
    <w:qFormat/>
    <w:rsid w:val="0060249E"/>
    <w:pPr>
      <w:widowControl/>
      <w:overflowPunct w:val="0"/>
      <w:ind w:left="720"/>
      <w:contextualSpacing/>
      <w:textAlignment w:val="baseline"/>
    </w:pPr>
    <w:rPr>
      <w:sz w:val="24"/>
      <w:szCs w:val="20"/>
    </w:rPr>
  </w:style>
  <w:style w:type="paragraph" w:customStyle="1" w:styleId="BoldItalic1">
    <w:name w:val="BoldItalic1"/>
    <w:aliases w:val="bi1"/>
    <w:basedOn w:val="Normal"/>
    <w:rsid w:val="0060249E"/>
    <w:pPr>
      <w:keepNext/>
      <w:widowControl/>
      <w:autoSpaceDE/>
      <w:autoSpaceDN/>
      <w:adjustRightInd/>
      <w:spacing w:after="240"/>
    </w:pPr>
    <w:rPr>
      <w:b/>
      <w:bCs/>
      <w:i/>
      <w:iCs/>
      <w:szCs w:val="24"/>
    </w:rPr>
  </w:style>
  <w:style w:type="paragraph" w:styleId="NoSpacing">
    <w:name w:val="No Spacing"/>
    <w:uiPriority w:val="1"/>
    <w:qFormat/>
    <w:rsid w:val="0060249E"/>
    <w:rPr>
      <w:rFonts w:ascii="Calibri" w:eastAsia="Calibri" w:hAnsi="Calibri"/>
      <w:sz w:val="22"/>
      <w:szCs w:val="22"/>
    </w:rPr>
  </w:style>
  <w:style w:type="character" w:styleId="Hyperlink">
    <w:name w:val="Hyperlink"/>
    <w:rsid w:val="00093F15"/>
    <w:rPr>
      <w:color w:val="0000FF"/>
      <w:u w:val="single"/>
    </w:rPr>
  </w:style>
  <w:style w:type="numbering" w:customStyle="1" w:styleId="NoList1">
    <w:name w:val="No List1"/>
    <w:next w:val="NoList"/>
    <w:uiPriority w:val="99"/>
    <w:semiHidden/>
    <w:unhideWhenUsed/>
    <w:rsid w:val="00690897"/>
  </w:style>
  <w:style w:type="paragraph" w:customStyle="1" w:styleId="DocId">
    <w:name w:val="DocId"/>
    <w:basedOn w:val="Footer"/>
    <w:rsid w:val="00EC2E38"/>
    <w:pPr>
      <w:widowControl/>
      <w:autoSpaceDE/>
      <w:autoSpaceDN/>
      <w:adjustRightInd/>
    </w:pPr>
    <w:rPr>
      <w:sz w:val="16"/>
      <w:szCs w:val="16"/>
    </w:rPr>
  </w:style>
  <w:style w:type="character" w:customStyle="1" w:styleId="apple-converted-space">
    <w:name w:val="apple-converted-space"/>
    <w:rsid w:val="00F3183B"/>
  </w:style>
  <w:style w:type="character" w:customStyle="1" w:styleId="DeltaViewInsertion">
    <w:name w:val="DeltaView Insertion"/>
    <w:uiPriority w:val="99"/>
    <w:rsid w:val="005B2366"/>
    <w:rPr>
      <w:color w:val="0000FF"/>
      <w:u w:val="double"/>
    </w:rPr>
  </w:style>
  <w:style w:type="character" w:customStyle="1" w:styleId="DeltaViewDeletion">
    <w:name w:val="DeltaView Deletion"/>
    <w:uiPriority w:val="99"/>
    <w:rsid w:val="00056240"/>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0852">
      <w:bodyDiv w:val="1"/>
      <w:marLeft w:val="0"/>
      <w:marRight w:val="0"/>
      <w:marTop w:val="0"/>
      <w:marBottom w:val="0"/>
      <w:divBdr>
        <w:top w:val="none" w:sz="0" w:space="0" w:color="auto"/>
        <w:left w:val="none" w:sz="0" w:space="0" w:color="auto"/>
        <w:bottom w:val="none" w:sz="0" w:space="0" w:color="auto"/>
        <w:right w:val="none" w:sz="0" w:space="0" w:color="auto"/>
      </w:divBdr>
    </w:div>
    <w:div w:id="193155379">
      <w:bodyDiv w:val="1"/>
      <w:marLeft w:val="0"/>
      <w:marRight w:val="0"/>
      <w:marTop w:val="0"/>
      <w:marBottom w:val="0"/>
      <w:divBdr>
        <w:top w:val="none" w:sz="0" w:space="0" w:color="auto"/>
        <w:left w:val="none" w:sz="0" w:space="0" w:color="auto"/>
        <w:bottom w:val="none" w:sz="0" w:space="0" w:color="auto"/>
        <w:right w:val="none" w:sz="0" w:space="0" w:color="auto"/>
      </w:divBdr>
    </w:div>
    <w:div w:id="715204016">
      <w:bodyDiv w:val="1"/>
      <w:marLeft w:val="0"/>
      <w:marRight w:val="0"/>
      <w:marTop w:val="0"/>
      <w:marBottom w:val="0"/>
      <w:divBdr>
        <w:top w:val="none" w:sz="0" w:space="0" w:color="auto"/>
        <w:left w:val="none" w:sz="0" w:space="0" w:color="auto"/>
        <w:bottom w:val="none" w:sz="0" w:space="0" w:color="auto"/>
        <w:right w:val="none" w:sz="0" w:space="0" w:color="auto"/>
      </w:divBdr>
    </w:div>
    <w:div w:id="800928530">
      <w:bodyDiv w:val="1"/>
      <w:marLeft w:val="0"/>
      <w:marRight w:val="0"/>
      <w:marTop w:val="0"/>
      <w:marBottom w:val="0"/>
      <w:divBdr>
        <w:top w:val="none" w:sz="0" w:space="0" w:color="auto"/>
        <w:left w:val="none" w:sz="0" w:space="0" w:color="auto"/>
        <w:bottom w:val="none" w:sz="0" w:space="0" w:color="auto"/>
        <w:right w:val="none" w:sz="0" w:space="0" w:color="auto"/>
      </w:divBdr>
    </w:div>
    <w:div w:id="1023364314">
      <w:bodyDiv w:val="1"/>
      <w:marLeft w:val="0"/>
      <w:marRight w:val="0"/>
      <w:marTop w:val="0"/>
      <w:marBottom w:val="0"/>
      <w:divBdr>
        <w:top w:val="none" w:sz="0" w:space="0" w:color="auto"/>
        <w:left w:val="none" w:sz="0" w:space="0" w:color="auto"/>
        <w:bottom w:val="none" w:sz="0" w:space="0" w:color="auto"/>
        <w:right w:val="none" w:sz="0" w:space="0" w:color="auto"/>
      </w:divBdr>
      <w:divsChild>
        <w:div w:id="1489790111">
          <w:marLeft w:val="0"/>
          <w:marRight w:val="0"/>
          <w:marTop w:val="0"/>
          <w:marBottom w:val="0"/>
          <w:divBdr>
            <w:top w:val="none" w:sz="0" w:space="0" w:color="auto"/>
            <w:left w:val="none" w:sz="0" w:space="0" w:color="auto"/>
            <w:bottom w:val="none" w:sz="0" w:space="0" w:color="auto"/>
            <w:right w:val="none" w:sz="0" w:space="0" w:color="auto"/>
          </w:divBdr>
          <w:divsChild>
            <w:div w:id="1563446813">
              <w:marLeft w:val="0"/>
              <w:marRight w:val="0"/>
              <w:marTop w:val="0"/>
              <w:marBottom w:val="0"/>
              <w:divBdr>
                <w:top w:val="none" w:sz="0" w:space="0" w:color="auto"/>
                <w:left w:val="none" w:sz="0" w:space="0" w:color="auto"/>
                <w:bottom w:val="none" w:sz="0" w:space="0" w:color="auto"/>
                <w:right w:val="none" w:sz="0" w:space="0" w:color="auto"/>
              </w:divBdr>
            </w:div>
            <w:div w:id="1052189579">
              <w:marLeft w:val="600"/>
              <w:marRight w:val="0"/>
              <w:marTop w:val="0"/>
              <w:marBottom w:val="0"/>
              <w:divBdr>
                <w:top w:val="none" w:sz="0" w:space="0" w:color="auto"/>
                <w:left w:val="none" w:sz="0" w:space="0" w:color="auto"/>
                <w:bottom w:val="none" w:sz="0" w:space="0" w:color="auto"/>
                <w:right w:val="none" w:sz="0" w:space="0" w:color="auto"/>
              </w:divBdr>
            </w:div>
            <w:div w:id="770585472">
              <w:marLeft w:val="0"/>
              <w:marRight w:val="0"/>
              <w:marTop w:val="0"/>
              <w:marBottom w:val="0"/>
              <w:divBdr>
                <w:top w:val="none" w:sz="0" w:space="0" w:color="auto"/>
                <w:left w:val="none" w:sz="0" w:space="0" w:color="auto"/>
                <w:bottom w:val="none" w:sz="0" w:space="0" w:color="auto"/>
                <w:right w:val="none" w:sz="0" w:space="0" w:color="auto"/>
              </w:divBdr>
            </w:div>
            <w:div w:id="973291751">
              <w:marLeft w:val="0"/>
              <w:marRight w:val="0"/>
              <w:marTop w:val="0"/>
              <w:marBottom w:val="0"/>
              <w:divBdr>
                <w:top w:val="none" w:sz="0" w:space="0" w:color="auto"/>
                <w:left w:val="none" w:sz="0" w:space="0" w:color="auto"/>
                <w:bottom w:val="none" w:sz="0" w:space="0" w:color="auto"/>
                <w:right w:val="none" w:sz="0" w:space="0" w:color="auto"/>
              </w:divBdr>
            </w:div>
            <w:div w:id="1872962204">
              <w:marLeft w:val="0"/>
              <w:marRight w:val="0"/>
              <w:marTop w:val="0"/>
              <w:marBottom w:val="0"/>
              <w:divBdr>
                <w:top w:val="none" w:sz="0" w:space="0" w:color="auto"/>
                <w:left w:val="none" w:sz="0" w:space="0" w:color="auto"/>
                <w:bottom w:val="none" w:sz="0" w:space="0" w:color="auto"/>
                <w:right w:val="none" w:sz="0" w:space="0" w:color="auto"/>
              </w:divBdr>
            </w:div>
            <w:div w:id="1554539260">
              <w:marLeft w:val="180"/>
              <w:marRight w:val="0"/>
              <w:marTop w:val="0"/>
              <w:marBottom w:val="0"/>
              <w:divBdr>
                <w:top w:val="none" w:sz="0" w:space="0" w:color="auto"/>
                <w:left w:val="none" w:sz="0" w:space="0" w:color="auto"/>
                <w:bottom w:val="none" w:sz="0" w:space="0" w:color="auto"/>
                <w:right w:val="none" w:sz="0" w:space="0" w:color="auto"/>
              </w:divBdr>
            </w:div>
            <w:div w:id="1933779992">
              <w:marLeft w:val="0"/>
              <w:marRight w:val="0"/>
              <w:marTop w:val="0"/>
              <w:marBottom w:val="0"/>
              <w:divBdr>
                <w:top w:val="none" w:sz="0" w:space="0" w:color="auto"/>
                <w:left w:val="none" w:sz="0" w:space="0" w:color="auto"/>
                <w:bottom w:val="none" w:sz="0" w:space="0" w:color="auto"/>
                <w:right w:val="none" w:sz="0" w:space="0" w:color="auto"/>
              </w:divBdr>
            </w:div>
            <w:div w:id="924997226">
              <w:marLeft w:val="180"/>
              <w:marRight w:val="0"/>
              <w:marTop w:val="0"/>
              <w:marBottom w:val="0"/>
              <w:divBdr>
                <w:top w:val="none" w:sz="0" w:space="0" w:color="auto"/>
                <w:left w:val="none" w:sz="0" w:space="0" w:color="auto"/>
                <w:bottom w:val="none" w:sz="0" w:space="0" w:color="auto"/>
                <w:right w:val="none" w:sz="0" w:space="0" w:color="auto"/>
              </w:divBdr>
            </w:div>
            <w:div w:id="1209488447">
              <w:marLeft w:val="0"/>
              <w:marRight w:val="0"/>
              <w:marTop w:val="0"/>
              <w:marBottom w:val="0"/>
              <w:divBdr>
                <w:top w:val="none" w:sz="0" w:space="0" w:color="auto"/>
                <w:left w:val="none" w:sz="0" w:space="0" w:color="auto"/>
                <w:bottom w:val="none" w:sz="0" w:space="0" w:color="auto"/>
                <w:right w:val="none" w:sz="0" w:space="0" w:color="auto"/>
              </w:divBdr>
            </w:div>
            <w:div w:id="577790239">
              <w:marLeft w:val="180"/>
              <w:marRight w:val="0"/>
              <w:marTop w:val="0"/>
              <w:marBottom w:val="0"/>
              <w:divBdr>
                <w:top w:val="none" w:sz="0" w:space="0" w:color="auto"/>
                <w:left w:val="none" w:sz="0" w:space="0" w:color="auto"/>
                <w:bottom w:val="none" w:sz="0" w:space="0" w:color="auto"/>
                <w:right w:val="none" w:sz="0" w:space="0" w:color="auto"/>
              </w:divBdr>
            </w:div>
            <w:div w:id="409934309">
              <w:marLeft w:val="0"/>
              <w:marRight w:val="0"/>
              <w:marTop w:val="0"/>
              <w:marBottom w:val="0"/>
              <w:divBdr>
                <w:top w:val="none" w:sz="0" w:space="0" w:color="auto"/>
                <w:left w:val="none" w:sz="0" w:space="0" w:color="auto"/>
                <w:bottom w:val="none" w:sz="0" w:space="0" w:color="auto"/>
                <w:right w:val="none" w:sz="0" w:space="0" w:color="auto"/>
              </w:divBdr>
            </w:div>
            <w:div w:id="107314195">
              <w:marLeft w:val="600"/>
              <w:marRight w:val="0"/>
              <w:marTop w:val="0"/>
              <w:marBottom w:val="0"/>
              <w:divBdr>
                <w:top w:val="none" w:sz="0" w:space="0" w:color="auto"/>
                <w:left w:val="none" w:sz="0" w:space="0" w:color="auto"/>
                <w:bottom w:val="none" w:sz="0" w:space="0" w:color="auto"/>
                <w:right w:val="none" w:sz="0" w:space="0" w:color="auto"/>
              </w:divBdr>
            </w:div>
            <w:div w:id="507720008">
              <w:marLeft w:val="0"/>
              <w:marRight w:val="0"/>
              <w:marTop w:val="0"/>
              <w:marBottom w:val="0"/>
              <w:divBdr>
                <w:top w:val="none" w:sz="0" w:space="0" w:color="auto"/>
                <w:left w:val="none" w:sz="0" w:space="0" w:color="auto"/>
                <w:bottom w:val="none" w:sz="0" w:space="0" w:color="auto"/>
                <w:right w:val="none" w:sz="0" w:space="0" w:color="auto"/>
              </w:divBdr>
            </w:div>
            <w:div w:id="945771334">
              <w:marLeft w:val="180"/>
              <w:marRight w:val="0"/>
              <w:marTop w:val="0"/>
              <w:marBottom w:val="0"/>
              <w:divBdr>
                <w:top w:val="none" w:sz="0" w:space="0" w:color="auto"/>
                <w:left w:val="none" w:sz="0" w:space="0" w:color="auto"/>
                <w:bottom w:val="none" w:sz="0" w:space="0" w:color="auto"/>
                <w:right w:val="none" w:sz="0" w:space="0" w:color="auto"/>
              </w:divBdr>
            </w:div>
            <w:div w:id="910962420">
              <w:marLeft w:val="600"/>
              <w:marRight w:val="0"/>
              <w:marTop w:val="0"/>
              <w:marBottom w:val="0"/>
              <w:divBdr>
                <w:top w:val="none" w:sz="0" w:space="0" w:color="auto"/>
                <w:left w:val="none" w:sz="0" w:space="0" w:color="auto"/>
                <w:bottom w:val="none" w:sz="0" w:space="0" w:color="auto"/>
                <w:right w:val="none" w:sz="0" w:space="0" w:color="auto"/>
              </w:divBdr>
            </w:div>
            <w:div w:id="1465081722">
              <w:marLeft w:val="0"/>
              <w:marRight w:val="0"/>
              <w:marTop w:val="0"/>
              <w:marBottom w:val="0"/>
              <w:divBdr>
                <w:top w:val="none" w:sz="0" w:space="0" w:color="auto"/>
                <w:left w:val="none" w:sz="0" w:space="0" w:color="auto"/>
                <w:bottom w:val="none" w:sz="0" w:space="0" w:color="auto"/>
                <w:right w:val="none" w:sz="0" w:space="0" w:color="auto"/>
              </w:divBdr>
            </w:div>
            <w:div w:id="22176439">
              <w:marLeft w:val="600"/>
              <w:marRight w:val="0"/>
              <w:marTop w:val="0"/>
              <w:marBottom w:val="0"/>
              <w:divBdr>
                <w:top w:val="none" w:sz="0" w:space="0" w:color="auto"/>
                <w:left w:val="none" w:sz="0" w:space="0" w:color="auto"/>
                <w:bottom w:val="none" w:sz="0" w:space="0" w:color="auto"/>
                <w:right w:val="none" w:sz="0" w:space="0" w:color="auto"/>
              </w:divBdr>
            </w:div>
            <w:div w:id="637883980">
              <w:marLeft w:val="0"/>
              <w:marRight w:val="0"/>
              <w:marTop w:val="0"/>
              <w:marBottom w:val="0"/>
              <w:divBdr>
                <w:top w:val="none" w:sz="0" w:space="0" w:color="auto"/>
                <w:left w:val="none" w:sz="0" w:space="0" w:color="auto"/>
                <w:bottom w:val="none" w:sz="0" w:space="0" w:color="auto"/>
                <w:right w:val="none" w:sz="0" w:space="0" w:color="auto"/>
              </w:divBdr>
            </w:div>
            <w:div w:id="901911513">
              <w:marLeft w:val="0"/>
              <w:marRight w:val="0"/>
              <w:marTop w:val="0"/>
              <w:marBottom w:val="0"/>
              <w:divBdr>
                <w:top w:val="none" w:sz="0" w:space="0" w:color="auto"/>
                <w:left w:val="none" w:sz="0" w:space="0" w:color="auto"/>
                <w:bottom w:val="none" w:sz="0" w:space="0" w:color="auto"/>
                <w:right w:val="none" w:sz="0" w:space="0" w:color="auto"/>
              </w:divBdr>
            </w:div>
            <w:div w:id="1791581285">
              <w:marLeft w:val="600"/>
              <w:marRight w:val="0"/>
              <w:marTop w:val="0"/>
              <w:marBottom w:val="0"/>
              <w:divBdr>
                <w:top w:val="none" w:sz="0" w:space="0" w:color="auto"/>
                <w:left w:val="none" w:sz="0" w:space="0" w:color="auto"/>
                <w:bottom w:val="none" w:sz="0" w:space="0" w:color="auto"/>
                <w:right w:val="none" w:sz="0" w:space="0" w:color="auto"/>
              </w:divBdr>
            </w:div>
            <w:div w:id="1017464923">
              <w:marLeft w:val="0"/>
              <w:marRight w:val="0"/>
              <w:marTop w:val="0"/>
              <w:marBottom w:val="0"/>
              <w:divBdr>
                <w:top w:val="none" w:sz="0" w:space="0" w:color="auto"/>
                <w:left w:val="none" w:sz="0" w:space="0" w:color="auto"/>
                <w:bottom w:val="none" w:sz="0" w:space="0" w:color="auto"/>
                <w:right w:val="none" w:sz="0" w:space="0" w:color="auto"/>
              </w:divBdr>
            </w:div>
            <w:div w:id="1552569444">
              <w:marLeft w:val="600"/>
              <w:marRight w:val="0"/>
              <w:marTop w:val="0"/>
              <w:marBottom w:val="0"/>
              <w:divBdr>
                <w:top w:val="none" w:sz="0" w:space="0" w:color="auto"/>
                <w:left w:val="none" w:sz="0" w:space="0" w:color="auto"/>
                <w:bottom w:val="none" w:sz="0" w:space="0" w:color="auto"/>
                <w:right w:val="none" w:sz="0" w:space="0" w:color="auto"/>
              </w:divBdr>
            </w:div>
            <w:div w:id="875893403">
              <w:marLeft w:val="0"/>
              <w:marRight w:val="0"/>
              <w:marTop w:val="0"/>
              <w:marBottom w:val="0"/>
              <w:divBdr>
                <w:top w:val="none" w:sz="0" w:space="0" w:color="auto"/>
                <w:left w:val="none" w:sz="0" w:space="0" w:color="auto"/>
                <w:bottom w:val="none" w:sz="0" w:space="0" w:color="auto"/>
                <w:right w:val="none" w:sz="0" w:space="0" w:color="auto"/>
              </w:divBdr>
            </w:div>
            <w:div w:id="1692105505">
              <w:marLeft w:val="600"/>
              <w:marRight w:val="0"/>
              <w:marTop w:val="0"/>
              <w:marBottom w:val="0"/>
              <w:divBdr>
                <w:top w:val="none" w:sz="0" w:space="0" w:color="auto"/>
                <w:left w:val="none" w:sz="0" w:space="0" w:color="auto"/>
                <w:bottom w:val="none" w:sz="0" w:space="0" w:color="auto"/>
                <w:right w:val="none" w:sz="0" w:space="0" w:color="auto"/>
              </w:divBdr>
            </w:div>
            <w:div w:id="1492867202">
              <w:marLeft w:val="0"/>
              <w:marRight w:val="0"/>
              <w:marTop w:val="0"/>
              <w:marBottom w:val="0"/>
              <w:divBdr>
                <w:top w:val="none" w:sz="0" w:space="0" w:color="auto"/>
                <w:left w:val="none" w:sz="0" w:space="0" w:color="auto"/>
                <w:bottom w:val="none" w:sz="0" w:space="0" w:color="auto"/>
                <w:right w:val="none" w:sz="0" w:space="0" w:color="auto"/>
              </w:divBdr>
            </w:div>
            <w:div w:id="176426849">
              <w:marLeft w:val="600"/>
              <w:marRight w:val="0"/>
              <w:marTop w:val="0"/>
              <w:marBottom w:val="0"/>
              <w:divBdr>
                <w:top w:val="none" w:sz="0" w:space="0" w:color="auto"/>
                <w:left w:val="none" w:sz="0" w:space="0" w:color="auto"/>
                <w:bottom w:val="none" w:sz="0" w:space="0" w:color="auto"/>
                <w:right w:val="none" w:sz="0" w:space="0" w:color="auto"/>
              </w:divBdr>
            </w:div>
            <w:div w:id="7565220">
              <w:marLeft w:val="0"/>
              <w:marRight w:val="0"/>
              <w:marTop w:val="0"/>
              <w:marBottom w:val="0"/>
              <w:divBdr>
                <w:top w:val="none" w:sz="0" w:space="0" w:color="auto"/>
                <w:left w:val="none" w:sz="0" w:space="0" w:color="auto"/>
                <w:bottom w:val="none" w:sz="0" w:space="0" w:color="auto"/>
                <w:right w:val="none" w:sz="0" w:space="0" w:color="auto"/>
              </w:divBdr>
            </w:div>
            <w:div w:id="198591491">
              <w:marLeft w:val="600"/>
              <w:marRight w:val="0"/>
              <w:marTop w:val="0"/>
              <w:marBottom w:val="0"/>
              <w:divBdr>
                <w:top w:val="none" w:sz="0" w:space="0" w:color="auto"/>
                <w:left w:val="none" w:sz="0" w:space="0" w:color="auto"/>
                <w:bottom w:val="none" w:sz="0" w:space="0" w:color="auto"/>
                <w:right w:val="none" w:sz="0" w:space="0" w:color="auto"/>
              </w:divBdr>
            </w:div>
            <w:div w:id="1217468101">
              <w:marLeft w:val="0"/>
              <w:marRight w:val="0"/>
              <w:marTop w:val="0"/>
              <w:marBottom w:val="0"/>
              <w:divBdr>
                <w:top w:val="none" w:sz="0" w:space="0" w:color="auto"/>
                <w:left w:val="none" w:sz="0" w:space="0" w:color="auto"/>
                <w:bottom w:val="none" w:sz="0" w:space="0" w:color="auto"/>
                <w:right w:val="none" w:sz="0" w:space="0" w:color="auto"/>
              </w:divBdr>
            </w:div>
            <w:div w:id="94640082">
              <w:marLeft w:val="600"/>
              <w:marRight w:val="0"/>
              <w:marTop w:val="0"/>
              <w:marBottom w:val="0"/>
              <w:divBdr>
                <w:top w:val="none" w:sz="0" w:space="0" w:color="auto"/>
                <w:left w:val="none" w:sz="0" w:space="0" w:color="auto"/>
                <w:bottom w:val="none" w:sz="0" w:space="0" w:color="auto"/>
                <w:right w:val="none" w:sz="0" w:space="0" w:color="auto"/>
              </w:divBdr>
            </w:div>
            <w:div w:id="1473718548">
              <w:marLeft w:val="0"/>
              <w:marRight w:val="0"/>
              <w:marTop w:val="0"/>
              <w:marBottom w:val="0"/>
              <w:divBdr>
                <w:top w:val="none" w:sz="0" w:space="0" w:color="auto"/>
                <w:left w:val="none" w:sz="0" w:space="0" w:color="auto"/>
                <w:bottom w:val="none" w:sz="0" w:space="0" w:color="auto"/>
                <w:right w:val="none" w:sz="0" w:space="0" w:color="auto"/>
              </w:divBdr>
            </w:div>
            <w:div w:id="194393848">
              <w:marLeft w:val="600"/>
              <w:marRight w:val="0"/>
              <w:marTop w:val="0"/>
              <w:marBottom w:val="0"/>
              <w:divBdr>
                <w:top w:val="none" w:sz="0" w:space="0" w:color="auto"/>
                <w:left w:val="none" w:sz="0" w:space="0" w:color="auto"/>
                <w:bottom w:val="none" w:sz="0" w:space="0" w:color="auto"/>
                <w:right w:val="none" w:sz="0" w:space="0" w:color="auto"/>
              </w:divBdr>
            </w:div>
            <w:div w:id="1719746973">
              <w:marLeft w:val="0"/>
              <w:marRight w:val="0"/>
              <w:marTop w:val="0"/>
              <w:marBottom w:val="0"/>
              <w:divBdr>
                <w:top w:val="none" w:sz="0" w:space="0" w:color="auto"/>
                <w:left w:val="none" w:sz="0" w:space="0" w:color="auto"/>
                <w:bottom w:val="none" w:sz="0" w:space="0" w:color="auto"/>
                <w:right w:val="none" w:sz="0" w:space="0" w:color="auto"/>
              </w:divBdr>
            </w:div>
            <w:div w:id="1274630937">
              <w:marLeft w:val="0"/>
              <w:marRight w:val="0"/>
              <w:marTop w:val="0"/>
              <w:marBottom w:val="0"/>
              <w:divBdr>
                <w:top w:val="none" w:sz="0" w:space="0" w:color="auto"/>
                <w:left w:val="none" w:sz="0" w:space="0" w:color="auto"/>
                <w:bottom w:val="none" w:sz="0" w:space="0" w:color="auto"/>
                <w:right w:val="none" w:sz="0" w:space="0" w:color="auto"/>
              </w:divBdr>
            </w:div>
            <w:div w:id="18391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8165">
      <w:bodyDiv w:val="1"/>
      <w:marLeft w:val="0"/>
      <w:marRight w:val="0"/>
      <w:marTop w:val="0"/>
      <w:marBottom w:val="0"/>
      <w:divBdr>
        <w:top w:val="none" w:sz="0" w:space="0" w:color="auto"/>
        <w:left w:val="none" w:sz="0" w:space="0" w:color="auto"/>
        <w:bottom w:val="none" w:sz="0" w:space="0" w:color="auto"/>
        <w:right w:val="none" w:sz="0" w:space="0" w:color="auto"/>
      </w:divBdr>
    </w:div>
    <w:div w:id="1667587888">
      <w:bodyDiv w:val="1"/>
      <w:marLeft w:val="0"/>
      <w:marRight w:val="0"/>
      <w:marTop w:val="0"/>
      <w:marBottom w:val="0"/>
      <w:divBdr>
        <w:top w:val="none" w:sz="0" w:space="0" w:color="auto"/>
        <w:left w:val="none" w:sz="0" w:space="0" w:color="auto"/>
        <w:bottom w:val="none" w:sz="0" w:space="0" w:color="auto"/>
        <w:right w:val="none" w:sz="0" w:space="0" w:color="auto"/>
      </w:divBdr>
    </w:div>
    <w:div w:id="2022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B74E-D30B-4408-978C-3546FC0F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16180</Words>
  <Characters>92232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Merrill Document Readback</vt:lpstr>
    </vt:vector>
  </TitlesOfParts>
  <Company>Merrill Corporation</Company>
  <LinksUpToDate>false</LinksUpToDate>
  <CharactersWithSpaces>108196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Merrill Document Readback</dc:title>
  <dc:creator>Cycle 4</dc:creator>
  <cp:lastModifiedBy>ckent</cp:lastModifiedBy>
  <cp:revision>6</cp:revision>
  <cp:lastPrinted>2014-05-12T19:29:00Z</cp:lastPrinted>
  <dcterms:created xsi:type="dcterms:W3CDTF">2014-05-08T18:18:00Z</dcterms:created>
  <dcterms:modified xsi:type="dcterms:W3CDTF">2014-05-12T19:29:00Z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rill_CS">
    <vt:lpwstr>NYC</vt:lpwstr>
  </property>
  <property fmtid="{D5CDD505-2E9C-101B-9397-08002B2CF9AE}" pid="3" name="Merrill_TS">
    <vt:lpwstr>18-MAR-2013 09:02 CT</vt:lpwstr>
  </property>
  <property fmtid="{D5CDD505-2E9C-101B-9397-08002B2CF9AE}" pid="4" name="DocXDocID">
    <vt:lpwstr>[NEWYORK 2767817_5]</vt:lpwstr>
  </property>
  <property fmtid="{D5CDD505-2E9C-101B-9397-08002B2CF9AE}" pid="5" name="DocXLocation">
    <vt:lpwstr>Every Page</vt:lpwstr>
  </property>
  <property fmtid="{D5CDD505-2E9C-101B-9397-08002B2CF9AE}" pid="6" name="DocXFormat">
    <vt:lpwstr>CGSH</vt:lpwstr>
  </property>
</Properties>
</file>